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الساج الملقب بالأفشين أمير الحرمين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الساج الملقب بالأفشين أمير الحرمين
</w:t>
      </w:r>
    </w:p>
    <w:p>
      <w:pPr/>
      <w:r>
        <w:rPr/>
        <w:t xml:space="preserve">محمد بن أبي الساج، الملقب بالأفشين، أمير الحرمين: </w:t>
      </w:r>
    </w:p>
    <w:p/>
    <w:p>
      <w:pPr/>
      <w:r>
        <w:rPr/>
        <w:t xml:space="preserve">ذكر ابن حمدون في التذكرة: أن عمرو بن الليث، ولاه بعده إمرة الحرمين، وطريق مكة، وذلك في سنة ست وستين ومائتين.</w:t>
      </w:r>
    </w:p>
    <w:p/>
    <w:p>
      <w:pPr/>
      <w:r>
        <w:rPr/>
        <w:t xml:space="preserve">وذكر الرشيد المنذري: أنه توفى سنة ثمان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2026-10-11T05:01:56+03:00</dcterms:created>
  <dcterms:modified xsi:type="dcterms:W3CDTF">2026-10-11T05:01:56+03:00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