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سيف بن أبي نمى محمد بن أبي سعد حسن بن علي بن قتادة الحسني المكي
</w:t>
      </w:r>
    </w:p>
    <w:p>
      <w:pPr>
        <w:jc w:val="start"/>
        <w:bidi/>
      </w:pPr>
      <w:r>
        <w:rPr>
          <w:rFonts w:ascii="arial" w:hAnsi="arial" w:eastAsia="arial" w:cs="arial"/>
          <w:sz w:val="28"/>
          <w:szCs w:val="28"/>
          <w:b w:val="1"/>
          <w:bCs w:val="1"/>
          <w:rtl/>
        </w:rPr>
        <w:t xml:space="preserve">محمد بن سيف بن أبي نمى محمد بن أبي سعد حسن بن علي بن قتادة الحسني المكي
</w:t>
      </w:r>
    </w:p>
    <w:p>
      <w:pPr/>
      <w:r>
        <w:rPr/>
        <w:t xml:space="preserve">محمد بن سيف بن أبي نمى محمد بن أبي سعد حسن بن علي بن قتادة الحسني، المكي: </w:t>
      </w:r>
    </w:p>
    <w:p/>
    <w:p>
      <w:pPr/>
      <w:r>
        <w:rPr/>
        <w:t xml:space="preserve">كان من أعيان الأشراف آل أبي نمى، وأقربهم نسبا إليه قبل موته بعشر سنين؛ فإنه لم يكن بينه وبين أبي نمى إلا والده سيف. ودخل العراق طلبا للرزق، ولم ينل طائلا، وعرض له بأخرة بياض.</w:t>
      </w:r>
    </w:p>
    <w:p/>
    <w:p>
      <w:pPr/>
      <w:r>
        <w:rPr/>
        <w:t xml:space="preserve">ومات في جمادى الأولى سنة ست وعشرين وثمانمائة بمكة. ودفن بالمعلاة. وهو في عشر السبعين ظنا.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2026-10-11T04:59:42+03:00</dcterms:created>
  <dcterms:modified xsi:type="dcterms:W3CDTF">2026-10-11T04:59:42+03:00</dcterms:modified>
</cp:coreProperties>
</file>

<file path=docProps/custom.xml><?xml version="1.0" encoding="utf-8"?>
<Properties xmlns="http://schemas.openxmlformats.org/officeDocument/2006/custom-properties" xmlns:vt="http://schemas.openxmlformats.org/officeDocument/2006/docPropsVTypes"/>
</file>