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حجاج بن إبراهيم الحضرمى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حجاج بن إبراهيم الحضرمى أبو بكر
</w:t>
      </w:r>
    </w:p>
    <w:p>
      <w:pPr/>
      <w:r>
        <w:rPr/>
        <w:t xml:space="preserve">محمد بن حجاج بن إبراهيم الحضرمى، أبو بكر </w:t>
      </w:r>
    </w:p>
    <w:p/>
    <w:p>
      <w:pPr/>
      <w:r>
        <w:rPr/>
        <w:t xml:space="preserve">وأبو عبد الله، وبها اشتهر، بن الوزير أبي محمد، المعروف بابن مطرف الإشبيلي:</w:t>
      </w:r>
    </w:p>
    <w:p/>
    <w:p>
      <w:pPr/>
      <w:r>
        <w:rPr/>
        <w:t xml:space="preserve">نزيل مكة، وشيخها، الولى العارف، ذو الكرامات الشهيرة. ذكر جدي أبو عبد الله الفاسي: أنه ولد سنة ثمان عشر وستمائة، وحج سنة ثلاث وخمسين.</w:t>
      </w:r>
    </w:p>
    <w:p/>
    <w:p>
      <w:pPr/>
      <w:r>
        <w:rPr/>
        <w:t xml:space="preserve">وسمع من ابن مسدي: الشفا للقاضي عياض، والشمائل للترمذي.</w:t>
      </w:r>
    </w:p>
    <w:p/>
    <w:p>
      <w:pPr/>
      <w:r>
        <w:rPr/>
        <w:t xml:space="preserve">ثم عاد إلى الإسكندرية. ثم عاد إلى مكة في سنة ستين، ثم توجه إلى عدن، وأقرأ بها العربية، ولم يزل مقيما بها إلى سنة تسع وستين.</w:t>
      </w:r>
    </w:p>
    <w:p/>
    <w:p>
      <w:pPr/>
      <w:r>
        <w:rPr/>
        <w:t xml:space="preserve">فتوجه إلى مكة وأقام بها إلى أن مات. غير أنه جاور بالمدينة في سنة خمس وتسعين. انتهى.</w:t>
      </w:r>
    </w:p>
    <w:p/>
    <w:p>
      <w:pPr/>
      <w:r>
        <w:rPr/>
        <w:t xml:space="preserve">وذكر الذهبي: أنه جاور بمكة نحو ستين عاما، وكان يطوف في اليوم والليلة ستين أسبوعا، وأن حميضة بن أبي نمى - صاحب مكة - حمل نعشه.</w:t>
      </w:r>
    </w:p>
    <w:p/>
    <w:p>
      <w:pPr/>
      <w:r>
        <w:rPr/>
        <w:t xml:space="preserve">إلا أن الذهبي وهم في تاريخ وفاته؛ لأنه ذكره في المتوفين في سنة سبع وسبعمائة. وتبعه على ذلك اليافعي في تاريخه.</w:t>
      </w:r>
    </w:p>
    <w:p/>
    <w:p>
      <w:pPr/>
      <w:r>
        <w:rPr/>
        <w:t xml:space="preserve">ووجدت بخط العفيف المطري أنه: توفى في سنة أربع وسبعمائة، وذلك وهم أيضا؛ لأنه إنما توفى في ليلة الخميس ثالث شهر رمضان سنة ست وسبعمائة بمكة. ودفن بالمعلاة.</w:t>
      </w:r>
    </w:p>
    <w:p/>
    <w:p>
      <w:pPr/>
      <w:r>
        <w:rPr/>
        <w:t xml:space="preserve">كذا وجدت وفاته على حجر قبره بالمعلاة. ووجدتها كذلك بخط جدي أبي عبد الله الفاسي، وذكر: أنه نزل قبره مع بعض أصحابه.</w:t>
      </w:r>
    </w:p>
    <w:p/>
    <w:p>
      <w:pPr/>
      <w:r>
        <w:rPr/>
        <w:t xml:space="preserve">وله كرامات مشهورات، منها - على ما ذكر اليافعي في تاريخه ـ: أنه قال للشيخ أبي محمد عبد الله بن عمران البسكرى - بباء موحدة وسين مهملة، وكاف مفتوحة وراء مهملة مكسورة وياء للنسبة - لما جاء إلى ابن مطرف مودعا له، وقد عزم على الزيارة في طريق الماشي: تلقون شدة، ثم تغاثون.</w:t>
      </w:r>
    </w:p>
    <w:p/>
    <w:p>
      <w:pPr/>
      <w:r>
        <w:rPr/>
        <w:t xml:space="preserve">وكان الأمر كما قال ابن مطرف. وله على ما ذكر جدي، تقييد على جمل الزجاجى.</w:t>
      </w:r>
    </w:p>
    <w:p/>
    <w:p>
      <w:pPr/>
      <w:r>
        <w:rPr/>
        <w:t xml:space="preserve">وذكر العفيف المطري: أنه قرأ النحو على أبي على الشلوبين. وأنه كان يحفظ كتاب سيبويه قال: وكان من الصالحين الأولياء العاملين الزهاد. انتهى.</w:t>
      </w:r>
    </w:p>
    <w:p/>
    <w:p>
      <w:pPr/>
      <w:r>
        <w:rPr/>
        <w:t xml:space="preserve">وذكر جدي: أن ابن مطرف - هذا - سكن برباط الموفق سنينا كثيرة، قال جدي: أظن من سنة ثلاث وثمانين وستمائة إلى أن انتقل منه في شهر رمضان سنة ثمان وتسعين بسبب تسلط متسلط.</w:t>
      </w:r>
    </w:p>
    <w:p/>
    <w:p>
      <w:pPr/>
      <w:r>
        <w:rPr/>
        <w:t xml:space="preserve">قال: وكان سكناه قبل ذلك في مدرسة المالكية التي بناها ابن الحداد المهدوى في الثنية من مكة.</w:t>
      </w:r>
    </w:p>
    <w:p/>
    <w:p>
      <w:pPr/>
      <w:r>
        <w:rPr/>
        <w:t xml:space="preserve">وكتب جدي عنه: بيتين حسنين؛ لأني وجدت بخط جدي: أنشدني الشيخ الصالح، القدوة أبو عبد الله محمد بن أبي محمد حجاج بن إبراهيم بن مطرف الحضرمى الإشبيلي، نزيل مكة - شرفها الله تعالى - بها لإبراهيم بن سهل الإشبيلي الشاعر:</w:t>
      </w:r>
    </w:p>
    <w:p/>
    <w:p>
      <w:pPr>
        <w:jc w:val="center"/>
      </w:pPr>
      <w:r>
        <w:rPr>
          <w:color w:val="ff0000"/>
        </w:rPr>
        <w:t xml:space="preserve">أخاف عليك أن أشكو بثى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مشافهة فيخجلك السماع</w:t>
      </w:r>
    </w:p>
    <w:p/>
    <w:p>
      <w:pPr>
        <w:jc w:val="center"/>
      </w:pPr>
      <w:r>
        <w:rPr>
          <w:color w:val="ff0000"/>
        </w:rPr>
        <w:t xml:space="preserve">وإن عبرت عن شوقى بكتب</w:t>
      </w:r>
      <w:r>
        <w:rPr>
          <w:color w:val="ff0000"/>
        </w:rPr>
        <w:t xml:space="preserve">      </w:t>
      </w:r>
      <w:r>
        <w:rPr>
          <w:color w:val="ff0000"/>
        </w:rPr>
        <w:t xml:space="preserve">تلهب في أناملى اليراع</w:t>
      </w:r>
    </w:p>
    <w:p/>
    <w:p>
      <w:pPr/>
      <w:r>
        <w:rPr/>
        <w:t xml:space="preserve">وكتب جدي عنه غير ذلك؛ لأنه قال في تعاليقه: وسمعت الشيخ أبا عبد الله بن</w:t>
      </w:r>
    </w:p>
    <w:p/>
    <w:p>
      <w:pPr/>
      <w:r>
        <w:rPr/>
        <w:t xml:space="preserve">مطرف الإشبيلي يقول: كان الإمام الإبيارى يقول: لو رأيت منكرا، فأردت أن أغيره، فقال لي الذي يغير عليه: يا إبيارى أي شيء أدخلك في هذا الفضول؟ لرأيت أن يسقط عني وجوب تغيير المنكر. انتهى.</w:t>
      </w:r>
    </w:p>
    <w:p/>
    <w:p>
      <w:pPr/>
      <w:r>
        <w:rPr/>
        <w:t xml:space="preserve">والإبيارى - هذا - من كبار أئمة المالكية المصريين.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2026-10-11T04:56:54+03:00</dcterms:created>
  <dcterms:modified xsi:type="dcterms:W3CDTF">2026-10-11T04:56:54+03:00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