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حامد بن الحارث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حامد بن الحارث البغدادي
</w:t>
      </w:r>
    </w:p>
    <w:p>
      <w:pPr/>
      <w:r>
        <w:rPr/>
        <w:t xml:space="preserve">محمد بن حامد بن الحارث البغدادي </w:t>
      </w:r>
    </w:p>
    <w:p/>
    <w:p>
      <w:pPr/>
      <w:r>
        <w:rPr/>
        <w:t xml:space="preserve">نزيل مكة، أبو رجاء:</w:t>
      </w:r>
    </w:p>
    <w:p/>
    <w:p>
      <w:pPr/>
      <w:r>
        <w:rPr/>
        <w:t xml:space="preserve">حدث عن: أحمد بن خيثمة، ومحمد بن الجهم وعبد الله بن مسلم بن قتيبة.</w:t>
      </w:r>
    </w:p>
    <w:p/>
    <w:p>
      <w:pPr/>
      <w:r>
        <w:rPr/>
        <w:t xml:space="preserve">وسمع منه جماعة، منهم أبو محمد النحاس بمكة، سمع منه حديثين، قال: ما سمعت منه سواهما. رواهما عنه عن الحسن بن عرفة.</w:t>
      </w:r>
    </w:p>
    <w:p/>
    <w:p>
      <w:pPr/>
      <w:r>
        <w:rPr/>
        <w:t xml:space="preserve">حدثنا علي بن قدامة عن ميسرة بن عبد ربه عن عبد الكريم الجزري، عن سعيد بن جبير عن ابن عباس رضي الله عنهما رفعهما أحدهما: «يا على خلقت أنا وأنت من نور الله وشيعتنا من نورنا». والآخر: «نجم بأعلى العقيق، فإنه أقر لله بالوحدانية ولك بالإمامة».</w:t>
      </w:r>
    </w:p>
    <w:p/>
    <w:p>
      <w:pPr/>
      <w:r>
        <w:rPr/>
        <w:t xml:space="preserve">قال الذهبي: هما - والله العظيم ـ: موضوعان، والآفة من ميسره، فإنه يضع الحديث. انتهى.</w:t>
      </w:r>
    </w:p>
    <w:p/>
    <w:p>
      <w:pPr/>
      <w:r>
        <w:rPr/>
        <w:t xml:space="preserve">وقد وثق أبا رجاء هذا، أبو عمرو الدانى فيما نقله عنه الذهبي في الميزان، وقال: ما أرى هذا الشيخ ممن يعتمد عليه. انتهى.</w:t>
      </w:r>
    </w:p>
    <w:p/>
    <w:p>
      <w:pPr/>
      <w:r>
        <w:rPr/>
        <w:t xml:space="preserve">وذكر الذهبي: أنه مات سنة ثلاث وأربعين وثلاثمائة. وقيل: في آخر سنة أربعين. وذكر: أنه ولد سنة خمس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2026-10-11T04:52:08+03:00</dcterms:created>
  <dcterms:modified xsi:type="dcterms:W3CDTF">2026-10-11T04:52:08+03:00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