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جار الله بن حمزة بن راجح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جار الله بن حمزة بن راجح بن أبي نمى الحسني المكي
</w:t>
      </w:r>
    </w:p>
    <w:p>
      <w:pPr/>
      <w:r>
        <w:rPr/>
        <w:t xml:space="preserve">محمد بن جار الله بن حمزة بن راجح بن أبي نمى الحسني، المكي: </w:t>
      </w:r>
    </w:p>
    <w:p/>
    <w:p>
      <w:pPr/>
      <w:r>
        <w:rPr/>
        <w:t xml:space="preserve">كان من أعيان الأشرف ذوى أبي نمى.</w:t>
      </w:r>
    </w:p>
    <w:p/>
    <w:p>
      <w:pPr/>
      <w:r>
        <w:rPr/>
        <w:t xml:space="preserve">توفى في آخر اليوم السابع من ذي القعدة سنة ست عشرة وثمانمائة بمكة، ودفن بالمعلاة. وقد بلغ الثلاثين أو جاوزها.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2026-08-05T15:08:15+03:00</dcterms:created>
  <dcterms:modified xsi:type="dcterms:W3CDTF">2026-08-05T15:08:15+03:00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