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جار الله بن حمزة بن راجح بن أبي نمى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جار الله بن حمزة بن راجح بن أبي نمى الحسني المكي
</w:t>
      </w:r>
    </w:p>
    <w:p>
      <w:pPr/>
      <w:r>
        <w:rPr/>
        <w:t xml:space="preserve">محمد بن جار الله بن حمزة بن راجح بن أبي نمى الحسني، المكي: </w:t>
      </w:r>
    </w:p>
    <w:p/>
    <w:p>
      <w:pPr/>
      <w:r>
        <w:rPr/>
        <w:t xml:space="preserve">كان من أعيان الأشرف ذوى أبي نمى.</w:t>
      </w:r>
    </w:p>
    <w:p/>
    <w:p>
      <w:pPr/>
      <w:r>
        <w:rPr/>
        <w:t xml:space="preserve">توفى في آخر اليوم السابع من ذي القعدة سنة ست عشرة وثمانمائة بمكة، ودفن بالمعلاة. وقد بلغ الثلاثين أو جاوزها.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2026-10-11T05:07:07+03:00</dcterms:created>
  <dcterms:modified xsi:type="dcterms:W3CDTF">2026-10-11T05:07:07+03:00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