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وهب بن أعين الإمام أبو ربيعة الربعى المكي المقري
</w:t>
      </w:r>
    </w:p>
    <w:p>
      <w:pPr>
        <w:jc w:val="start"/>
        <w:bidi/>
      </w:pPr>
      <w:r>
        <w:rPr>
          <w:rFonts w:ascii="arial" w:hAnsi="arial" w:eastAsia="arial" w:cs="arial"/>
          <w:sz w:val="28"/>
          <w:szCs w:val="28"/>
          <w:b w:val="1"/>
          <w:bCs w:val="1"/>
          <w:rtl/>
        </w:rPr>
        <w:t xml:space="preserve">محمد بن إسحاق بن وهب بن أعين الإمام أبو ربيعة الربعى المكي المقري
</w:t>
      </w:r>
    </w:p>
    <w:p>
      <w:pPr/>
      <w:r>
        <w:rPr/>
        <w:t xml:space="preserve">محمد بن إسحاق بن وهب بن أعين، الإمام، أبو ربيعة، الربعى، المكي، المقري: </w:t>
      </w:r>
    </w:p>
    <w:p/>
    <w:p>
      <w:pPr/>
      <w:r>
        <w:rPr/>
        <w:t xml:space="preserve">مؤذن المسجد الحرام. هكذا ذكره الذهبي في طبقات القراء، وقال: قرأ على البزى، وعرض على قبل أيضا قديما. وألف قراءة ابن كثير. وأقرأ في حياة شيخه - قراءة عليه - محمد بن الصباح، ومحمد بن عيسى بن بندار، وعبد الله بن أحمد النخلى، وإبراهيم ابن عبد الرزاق، وأبو بكر النقاش المفسر، وهبة الله بن جعفر، وهو أنبل أصحاب البزى في وقته.</w:t>
      </w:r>
    </w:p>
    <w:p/>
    <w:p>
      <w:pPr/>
      <w:r>
        <w:rPr/>
        <w:t xml:space="preserve">توفى في رمضان سنة أربع وتسعين ومائتين.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2026-10-11T05:56:18+03:00</dcterms:created>
  <dcterms:modified xsi:type="dcterms:W3CDTF">2026-10-11T05:56:18+03:00</dcterms:modified>
</cp:coreProperties>
</file>

<file path=docProps/custom.xml><?xml version="1.0" encoding="utf-8"?>
<Properties xmlns="http://schemas.openxmlformats.org/officeDocument/2006/custom-properties" xmlns:vt="http://schemas.openxmlformats.org/officeDocument/2006/docPropsVTypes"/>
</file>