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بن محمد يلقب بالظهير الأصبهاني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بن محمد يلقب بالظهير الأصبهاني
</w:t>
      </w:r>
    </w:p>
    <w:p>
      <w:pPr/>
      <w:r>
        <w:rPr/>
        <w:t xml:space="preserve">محمد بن إبراهيم بن محمد، يلقب بالظهير، الأصبهاني: </w:t>
      </w:r>
    </w:p>
    <w:p/>
    <w:p>
      <w:pPr/>
      <w:r>
        <w:rPr/>
        <w:t xml:space="preserve">كان من بقايا الصالحين بمكة، على ما وجدت في بعض مجاميع الشيخ أبي العباس الميورقي بخطه أو بخط غيره، إلا أنه لم يسمعه، وإنما قال: شيخ الرباط الظهير، الأصبهاني. انتهى.</w:t>
      </w:r>
    </w:p>
    <w:p/>
    <w:p>
      <w:pPr/>
      <w:r>
        <w:rPr/>
        <w:t xml:space="preserve">وهو والد: العز إبراهيم الأصبهاني - الآتي ذكره - وجد ابنه محمد - المقدم ذكره.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2026-08-05T16:08:13+03:00</dcterms:created>
  <dcterms:modified xsi:type="dcterms:W3CDTF">2026-08-05T16:08:13+03:00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