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إبراهيم بن محمد بن إبراهيم ويلقب بالجمال ابن العز الأصبهاني المكي
</w:t>
      </w:r>
    </w:p>
    <w:p>
      <w:pPr>
        <w:jc w:val="start"/>
        <w:bidi/>
      </w:pPr>
      <w:r>
        <w:rPr>
          <w:rFonts w:ascii="arial" w:hAnsi="arial" w:eastAsia="arial" w:cs="arial"/>
          <w:sz w:val="28"/>
          <w:szCs w:val="28"/>
          <w:b w:val="1"/>
          <w:bCs w:val="1"/>
          <w:rtl/>
        </w:rPr>
        <w:t xml:space="preserve">محمد بن إبراهيم بن محمد بن إبراهيم ويلقب بالجمال ابن العز الأصبهاني المكي
</w:t>
      </w:r>
    </w:p>
    <w:p>
      <w:pPr/>
      <w:r>
        <w:rPr/>
        <w:t xml:space="preserve">محمد بن إبراهيم بن محمد بن إبراهيم، ويلقب بالجمال، ابن العز، الأصبهاني، المكي: </w:t>
      </w:r>
    </w:p>
    <w:p/>
    <w:p>
      <w:pPr/>
      <w:r>
        <w:rPr/>
        <w:t xml:space="preserve">كان ذا نظم وعناية بالشعر، وجمع في ذلك مجاميع. وورث مالا جزيلا عن أبيه، وبالغ في الإسراف فيه حتى احتاج في آخر عمره وصار يتكسب من عمل يده بالتجارة وغيرها. ثم توجه إلى مصر.</w:t>
      </w:r>
    </w:p>
    <w:p/>
    <w:p>
      <w:pPr/>
      <w:r>
        <w:rPr/>
        <w:t xml:space="preserve">ومات بالبيمارستان المنصوري سنة خمس أو ست وسبعين وسبعمائة. وكان صاهر القاضي شهاب الدين الطبري على ابنته السيدة خديجة.</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2026-08-05T17:30:08+03:00</dcterms:created>
  <dcterms:modified xsi:type="dcterms:W3CDTF">2026-08-05T17:30:08+03:00</dcterms:modified>
</cp:coreProperties>
</file>

<file path=docProps/custom.xml><?xml version="1.0" encoding="utf-8"?>
<Properties xmlns="http://schemas.openxmlformats.org/officeDocument/2006/custom-properties" xmlns:vt="http://schemas.openxmlformats.org/officeDocument/2006/docPropsVTypes"/>
</file>