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القزوينى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القزوينى الصوفي
</w:t>
      </w:r>
    </w:p>
    <w:p>
      <w:pPr/>
      <w:r>
        <w:rPr/>
        <w:t xml:space="preserve">محمد بن أحمد بن محمد القزوينى الصوفي: </w:t>
      </w:r>
    </w:p>
    <w:p/>
    <w:p>
      <w:pPr/>
      <w:r>
        <w:rPr/>
        <w:t xml:space="preserve">ذكر لنا: أنه سمع من مظفر الدين محمد بن محمد بن يحيى العطار المصري، ولم يحرر ما سمعه منه. وسمع - وهو كبير - على جماعة من شيوخنا وغيرهم، بديار مصر والحجاز.</w:t>
      </w:r>
    </w:p>
    <w:p/>
    <w:p>
      <w:pPr/>
      <w:r>
        <w:rPr/>
        <w:t xml:space="preserve">وصحبه الشيخ يوسف العجمى. وأخذ عنه الطريق وجماعة من أهل الخير. وكانت له معرفة بطريق الصوفية، ومواظبة على العبادة، مع حسن الطريق.</w:t>
      </w:r>
    </w:p>
    <w:p/>
    <w:p>
      <w:pPr/>
      <w:r>
        <w:rPr/>
        <w:t xml:space="preserve">جاور بالحرمين الشريفين غير مرة، منها: نحو خمس سنين متوالية متصلة بوفاته أو أزيد.</w:t>
      </w:r>
    </w:p>
    <w:p/>
    <w:p>
      <w:pPr/>
      <w:r>
        <w:rPr/>
        <w:t xml:space="preserve">وكان يسكن برباط ربيع، ثم انتقل عنه قبيل وفاته لحاجته إلى من يمرضه.</w:t>
      </w:r>
    </w:p>
    <w:p/>
    <w:p>
      <w:pPr/>
      <w:r>
        <w:rPr/>
        <w:t xml:space="preserve">وتوفى في ثاني عشرين شعبان سنة إحدى عشرة وثمانمائة بمكة، ودفن بالمعلاة وقد جاوز الستين. وكان خيرا صالحا حسن العقيدة، قاله ابن حجر في معجمه.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2026-10-11T06:39:03+03:00</dcterms:created>
  <dcterms:modified xsi:type="dcterms:W3CDTF">2026-10-11T06:39:03+03:00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