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محمد بن أحمد بن عبد الله بن محمد بن أبي بكر نجم الدين
</w:t>
      </w:r>
    </w:p>
    <w:p>
      <w:pPr>
        <w:jc w:val="start"/>
        <w:bidi/>
      </w:pPr>
      <w:r>
        <w:rPr>
          <w:rFonts w:ascii="arial" w:hAnsi="arial" w:eastAsia="arial" w:cs="arial"/>
          <w:sz w:val="28"/>
          <w:szCs w:val="28"/>
          <w:b w:val="1"/>
          <w:bCs w:val="1"/>
          <w:rtl/>
        </w:rPr>
        <w:t xml:space="preserve">محمد بن أحمد بن محمد بن محمد بن أحمد بن عبد الله بن محمد بن أبي بكر نجم الدين
</w:t>
      </w:r>
    </w:p>
    <w:p>
      <w:pPr/>
      <w:r>
        <w:rPr/>
        <w:t xml:space="preserve">محمد بن أحمد بن محمد بن محمد بن أحمد بن عبد الله بن محمد بن أبي بكر نجم الدين بن القاضي شهاب الدين أبي الفضل بن القاضي نجم الدين بن القاضي جمال الدين بن الشيخ محب الدين الطبري المكي: </w:t>
      </w:r>
    </w:p>
    <w:p/>
    <w:p>
      <w:pPr/>
      <w:r>
        <w:rPr/>
        <w:t xml:space="preserve">سمع من عثمان بن الصفي وغيره. ودرس - بعد أبيه - بالمدرسة المنصورية والمجاهدية بمكة، ورام المنصب، فاخترمته المنية دونه. توفى في أحد الجمادين سنة خمس وستين وسبعمائة بمكة.</w:t>
      </w:r>
    </w:p>
    <w:p/>
    <w:p>
      <w:pPr/>
      <w:r>
        <w:rPr/>
        <w:t xml:space="preserve">ودفن بالمعلاة بجوار ضريح والده وجده بعد خاله القاضي تقي الدين الحرازي بيسير. وكان حسن الشكالة صينا.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2026-10-11T06:40:14+03:00</dcterms:created>
  <dcterms:modified xsi:type="dcterms:W3CDTF">2026-10-11T06:40:14+03:00</dcterms:modified>
</cp:coreProperties>
</file>

<file path=docProps/custom.xml><?xml version="1.0" encoding="utf-8"?>
<Properties xmlns="http://schemas.openxmlformats.org/officeDocument/2006/custom-properties" xmlns:vt="http://schemas.openxmlformats.org/officeDocument/2006/docPropsVTypes"/>
</file>