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قاسم العمري أبو عبد الله بن الشيخ شهاب الدين الحرازي المكي يلقب بالمحب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قاسم العمري أبو عبد الله بن الشيخ شهاب الدين الحرازي المكي يلقب بالمحب
</w:t>
      </w:r>
    </w:p>
    <w:p>
      <w:pPr/>
      <w:r>
        <w:rPr/>
        <w:t xml:space="preserve">محمد بن أحمد بن قاسم العمري، أبو عبد الله بن الشيخ شهاب الدين الحرازي المكي، يلقب بالمحب: </w:t>
      </w:r>
    </w:p>
    <w:p/>
    <w:p>
      <w:pPr/>
      <w:r>
        <w:rPr/>
        <w:t xml:space="preserve">سمع من جده لأمه الرضى الطبري: الصحيحين وغير ذلك. وما علمته حدث وبحث على والده كتبا في الفقه. ومات سنة أربع وستين وسبعمائة بالقاهرة.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2026-10-11T06:43:49+03:00</dcterms:created>
  <dcterms:modified xsi:type="dcterms:W3CDTF">2026-10-11T06:43:49+03:00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