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القوى نجم الدين بن ضياء الدين الإسنائي
</w:t>
      </w:r>
    </w:p>
    <w:p>
      <w:pPr>
        <w:jc w:val="start"/>
        <w:bidi/>
      </w:pPr>
      <w:r>
        <w:rPr>
          <w:rFonts w:ascii="arial" w:hAnsi="arial" w:eastAsia="arial" w:cs="arial"/>
          <w:sz w:val="28"/>
          <w:szCs w:val="28"/>
          <w:b w:val="1"/>
          <w:bCs w:val="1"/>
          <w:rtl/>
        </w:rPr>
        <w:t xml:space="preserve">محمد بن أحمد بن عبد القوى نجم الدين بن ضياء الدين الإسنائي
</w:t>
      </w:r>
    </w:p>
    <w:p>
      <w:pPr/>
      <w:r>
        <w:rPr/>
        <w:t xml:space="preserve">محمد بن أحمد بن عبد القوى نجم الدين بن ضياء الدين الإسنائي: </w:t>
      </w:r>
    </w:p>
    <w:p/>
    <w:p>
      <w:pPr/>
      <w:r>
        <w:rPr/>
        <w:t xml:space="preserve">ذكره الشيخ جمال الدين الإسنائي في طبقاته، فقال: كان عالما فاضلا في علوم كثيرة، صالحا، زاهدا، قواما في الحق.</w:t>
      </w:r>
    </w:p>
    <w:p/>
    <w:p>
      <w:pPr/>
      <w:r>
        <w:rPr/>
        <w:t xml:space="preserve">قرأ في صباه بقوص على قاضيها نور الدين الإسنائي، ثم رحل إلى القاهرة، فلازم الاشتغال بها ملازمة كثيرة شديدة، بحيث كان يبحث في اليوم والليلة على المشايخ نحو اثنا عشر درسا في عدة من العلوم، ويحرر في باقي الليل ما كان قد بحثه في ذلك اليوم.</w:t>
      </w:r>
    </w:p>
    <w:p/>
    <w:p>
      <w:pPr/>
      <w:r>
        <w:rPr/>
        <w:t xml:space="preserve">وأقام على ذلك مدة، ثم عاد إلى بلده ودرس فيها بالمدرسة الإفرمية المعزية، وبالمدرسة المحدثة، وبجامعها العتيق. وانتصب للاقراء والتصنيف، فانتفع به كثيرون.</w:t>
      </w:r>
    </w:p>
    <w:p/>
    <w:p>
      <w:pPr/>
      <w:r>
        <w:rPr/>
        <w:t xml:space="preserve">وصنف تصانيف كثيرة في علوم متعددة، منها: كتاب جامع الأصول على أبواب الفقه، ثم ترك ذلك.</w:t>
      </w:r>
    </w:p>
    <w:p/>
    <w:p>
      <w:pPr/>
      <w:r>
        <w:rPr/>
        <w:t xml:space="preserve">وجاور بمكة - شرفها الله تعالى - ولزم العبادة، وخشونة العيش، ومجاهدة النفس، ومجالسة أهل القلوب. إلى أن توفى بمنى ليلة الجمعة لإحدى عشرة ليلة خلت من ذي الحجة سنة ثلاث وستين وسبعمائة عن نحو سبعين سنة. ونقل إلى المعلاة وشهد جنازته خلق كثير. انتهى.</w:t>
      </w:r>
    </w:p>
    <w:p/>
    <w:p>
      <w:pPr/>
      <w:r>
        <w:rPr/>
        <w:t xml:space="preserve">وذكره الشيخ زين الدين العراقي في ذيله على ذيل والده على العبر للذهبي.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2026-08-05T15:08:27+03:00</dcterms:created>
  <dcterms:modified xsi:type="dcterms:W3CDTF">2026-08-05T15:08:27+03:00</dcterms:modified>
</cp:coreProperties>
</file>

<file path=docProps/custom.xml><?xml version="1.0" encoding="utf-8"?>
<Properties xmlns="http://schemas.openxmlformats.org/officeDocument/2006/custom-properties" xmlns:vt="http://schemas.openxmlformats.org/officeDocument/2006/docPropsVTypes"/>
</file>