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جعفر بن علي الديوانى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جعفر بن علي الديوانى المكي
</w:t>
      </w:r>
    </w:p>
    <w:p>
      <w:pPr/>
      <w:r>
        <w:rPr/>
        <w:t xml:space="preserve">محمد بن أحمد بن جعفر بن علي الديوانى المكي: </w:t>
      </w:r>
    </w:p>
    <w:p/>
    <w:p>
      <w:pPr/>
      <w:r>
        <w:rPr/>
        <w:t xml:space="preserve">كان خدم عنان بن مغامس بن رميثة أمير مكة في ولايته الثانية على مكة. وخدم غيره من أمراء مكة.</w:t>
      </w:r>
    </w:p>
    <w:p/>
    <w:p>
      <w:pPr/>
      <w:r>
        <w:rPr/>
        <w:t xml:space="preserve">وبها توفى في سنة ست وثمانمائة في غالب الظن، وإلا ففي التي بعدها.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2026-08-05T21:30:54+03:00</dcterms:created>
  <dcterms:modified xsi:type="dcterms:W3CDTF">2026-08-05T21:30:54+03:00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