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محمد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محمد بن علي
</w:t>
      </w:r>
    </w:p>
    <w:p>
      <w:pPr/>
      <w:r>
        <w:rPr/>
        <w:t xml:space="preserve">الحافظ محمد بن علي </w:t>
      </w:r>
    </w:p>
    <w:p/>
    <w:p>
      <w:pPr/>
      <w:r>
        <w:rPr/>
        <w:t xml:space="preserve">ابن الحسين، البلخي، رحال.</w:t>
      </w:r>
    </w:p>
    <w:p/>
    <w:p>
      <w:pPr/>
      <w:r>
        <w:rPr/>
        <w:t xml:space="preserve">روى عن محمد بن المعافى الصيداوي، وغيره.</w:t>
      </w:r>
    </w:p>
    <w:p/>
    <w:p>
      <w:pPr/>
      <w:r>
        <w:rPr/>
        <w:t xml:space="preserve">وعنه: الحافظ محمد بن أحمد الجارودي.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2026-10-11T08:29:27+03:00</dcterms:created>
  <dcterms:modified xsi:type="dcterms:W3CDTF">2026-10-11T08:29:27+03:00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