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
</w:t>
      </w:r>
    </w:p>
    <w:p>
      <w:pPr/>
      <w:r>
        <w:rPr/>
        <w:t xml:space="preserve">أحمد بن محمد </w:t>
      </w:r>
    </w:p>
    <w:p/>
    <w:p>
      <w:pPr/>
      <w:r>
        <w:rPr/>
        <w:t xml:space="preserve">ابن الحسن بن أبي حمزة، أبو بكر البلخي الذهبي، الحافظ، نزيل نيسابور.</w:t>
      </w:r>
    </w:p>
    <w:p/>
    <w:p>
      <w:pPr/>
      <w:r>
        <w:rPr/>
        <w:t xml:space="preserve">روى عن: الفلاس، ومحمد بن بشار، والذهلي، وسلم بن جنادة، وأحمد بن سعيد الدارمي، وغيرهم.</w:t>
      </w:r>
    </w:p>
    <w:p/>
    <w:p>
      <w:pPr/>
      <w:r>
        <w:rPr/>
        <w:t xml:space="preserve">وعنه: أبو علي الحافظ مع سوء رأيه فيه، ومحمد بن جعفر البستي، وأبو أحمد الغطريفي، وأبو بكر الإسماعيلي، ومحمد بن عبد الله القزاز، وأبو محمد المخلدي، وآخرون.</w:t>
      </w:r>
    </w:p>
    <w:p/>
    <w:p>
      <w:pPr/>
      <w:r>
        <w:rPr/>
        <w:t xml:space="preserve">قال الإسماعيلي: كان مستهتراً بالشرب.</w:t>
      </w:r>
    </w:p>
    <w:p/>
    <w:p>
      <w:pPr/>
      <w:r>
        <w:rPr/>
        <w:t xml:space="preserve">وقال الحاكم: وقع إلي من كتبه بخطه، وفيها عجائب.</w:t>
      </w:r>
    </w:p>
    <w:p/>
    <w:p>
      <w:pPr/>
      <w:r>
        <w:rPr/>
        <w:t xml:space="preserve">مات سنة أربع عشرة وثلاث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2026-08-05T14:03:38+03:00</dcterms:created>
  <dcterms:modified xsi:type="dcterms:W3CDTF">2026-08-05T14:03:38+03:00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