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العباس
</w:t>
      </w:r>
    </w:p>
    <w:p>
      <w:pPr/>
      <w:r>
        <w:rPr/>
        <w:t xml:space="preserve">محمد بن العباس </w:t>
      </w:r>
    </w:p>
    <w:p/>
    <w:p>
      <w:pPr/>
      <w:r>
        <w:rPr/>
        <w:t xml:space="preserve">ابن أيوب الأصبهاني، أبو جعفر، الإمام الحافظ، ويعرف بابن الأخرم.</w:t>
      </w:r>
    </w:p>
    <w:p/>
    <w:p>
      <w:pPr/>
      <w:r>
        <w:rPr/>
        <w:t xml:space="preserve">كان فقيهاً محدثاً.</w:t>
      </w:r>
    </w:p>
    <w:p/>
    <w:p>
      <w:pPr/>
      <w:r>
        <w:rPr/>
        <w:t xml:space="preserve">سمع: أبا كريب، وزياد بن يحيى الحساني، وعمار بن خالد، وعلي بن حرب، والمفضل بن غسان الغلابي، وطبقتهم.</w:t>
      </w:r>
    </w:p>
    <w:p/>
    <w:p>
      <w:pPr/>
      <w:r>
        <w:rPr/>
        <w:t xml:space="preserve">روى عنه: أبو أحمد العسال، وعبد الله بن محمد بن عمر، وأبو الشيخ، وأحمد بن إبراهيم بن يوسف الأصبهانيون.</w:t>
      </w:r>
    </w:p>
    <w:p/>
    <w:p>
      <w:pPr/>
      <w:r>
        <w:rPr/>
        <w:t xml:space="preserve">وله وصية يقول فيها: والله تعالى على العرش، وعلمه محيط بالدنيا والأخرة. وفيها: من زعم أن لفظه بالقرآن مخلوق فهو كافر.</w:t>
      </w:r>
    </w:p>
    <w:p/>
    <w:p>
      <w:pPr/>
      <w:r>
        <w:rPr/>
        <w:t xml:space="preserve">مات سنة إحدى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2026-10-11T09:33:16+03:00</dcterms:created>
  <dcterms:modified xsi:type="dcterms:W3CDTF">2026-10-11T09:33:16+03:00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