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عيسى
</w:t>
      </w:r>
    </w:p>
    <w:p>
      <w:pPr/>
      <w:r>
        <w:rPr/>
        <w:t xml:space="preserve">أحمد بن محمد بن عيسى </w:t>
      </w:r>
    </w:p>
    <w:p/>
    <w:p>
      <w:pPr/>
      <w:r>
        <w:rPr/>
        <w:t xml:space="preserve">القاضي، العلامة، أبو العباس البرتي، الفقيه الحافظ.</w:t>
      </w:r>
    </w:p>
    <w:p/>
    <w:p>
      <w:pPr/>
      <w:r>
        <w:rPr/>
        <w:t xml:space="preserve">ولد قبل المئتين.</w:t>
      </w:r>
    </w:p>
    <w:p/>
    <w:p>
      <w:pPr/>
      <w:r>
        <w:rPr/>
        <w:t xml:space="preserve">وسمع: أبا نعيم، ومسلم بن إبراهيم، والقعنبي، وأبا عمر الحوضي، وأبا الوليد الطيالسي، وطبقتهم. وتفقه لأبي حنيفة على أبي سليمان الجوزجاني صاحب محمد بن الحسن.</w:t>
      </w:r>
    </w:p>
    <w:p/>
    <w:p>
      <w:pPr/>
      <w:r>
        <w:rPr/>
        <w:t xml:space="preserve">روى عنه: ابن صاعد، وإسماعيل الصفار، وابن البختري، وأبو بكر النجاد، وأبو سهل بن زياد، وغيرهم.</w:t>
      </w:r>
    </w:p>
    <w:p/>
    <w:p>
      <w:pPr/>
      <w:r>
        <w:rPr/>
        <w:t xml:space="preserve">قال الخطيب: ولي قضاء بغداد، وكان ثقة، ثبتاً، حجةً، يذكر بالصلاح والعبادة.</w:t>
      </w:r>
    </w:p>
    <w:p/>
    <w:p>
      <w:pPr/>
      <w:r>
        <w:rPr/>
        <w:t xml:space="preserve">وقال أبو عمر القاضي: رأيت إسماعيل القاضي أعظمه إعظاماً شديداً، وسأله عن حاله وأهله، فلما ذهب، قال: هذا لزم بيته، واشتغل بالعبادة، هكذا يكون القضاة لا كما نحن.</w:t>
      </w:r>
    </w:p>
    <w:p/>
    <w:p>
      <w:pPr/>
      <w:r>
        <w:rPr/>
        <w:t xml:space="preserve">مات في ذي الحجة سنة ثمانين ومئتين.</w:t>
      </w:r>
    </w:p>
    <w:p/>
    <w:p>
      <w:pPr/>
      <w:r>
        <w:rPr/>
        <w:t xml:space="preserve">وفيها مات: محدث الرقة هلال بن العلاء بن هلال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2026-10-11T08:29:15+03:00</dcterms:created>
  <dcterms:modified xsi:type="dcterms:W3CDTF">2026-10-11T08:29:15+03:00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