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
</w:t>
      </w:r>
    </w:p>
    <w:p>
      <w:pPr/>
      <w:r>
        <w:rPr/>
        <w:t xml:space="preserve">محمد بن يحيى </w:t>
      </w:r>
    </w:p>
    <w:p/>
    <w:p>
      <w:pPr/>
      <w:r>
        <w:rPr/>
        <w:t xml:space="preserve">ابن موسى، الحافظ المتقن، أبو عبد الله الإسفراييني، المعروف بحيويه.</w:t>
      </w:r>
    </w:p>
    <w:p/>
    <w:p>
      <w:pPr/>
      <w:r>
        <w:rPr/>
        <w:t xml:space="preserve">حدث عن: سعيد بن عامر الضبعي، وأبي النضر، وأبي عاصم، وعبيد الله بن موسى، وأبي مسهر، وخلق.</w:t>
      </w:r>
    </w:p>
    <w:p/>
    <w:p>
      <w:pPr/>
      <w:r>
        <w:rPr/>
        <w:t xml:space="preserve">وعنه: أبو العباس السراج، وابن خزيمة، وأبو عوانة الإسفراييني، ومحمد بن محمد بن رجاء.</w:t>
      </w:r>
    </w:p>
    <w:p/>
    <w:p>
      <w:pPr/>
      <w:r>
        <w:rPr/>
        <w:t xml:space="preserve">وكان أبو عوانة يقول: محمد بن يحيانا، ومحمد بن يحياكم، ينظره بالذهلي.</w:t>
      </w:r>
    </w:p>
    <w:p/>
    <w:p>
      <w:pPr/>
      <w:r>
        <w:rPr/>
        <w:t xml:space="preserve">مات يوم التروية سنة تسعٍ وخمسين ومئتين.</w:t>
      </w:r>
    </w:p>
    <w:p/>
    <w:p>
      <w:pPr/>
      <w:r>
        <w:rPr/>
        <w:t xml:space="preserve">وقيل: إن حيويه لقب والده.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2026-10-11T08:26:22+03:00</dcterms:created>
  <dcterms:modified xsi:type="dcterms:W3CDTF">2026-10-11T08:26:22+03:00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