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 (ت، س)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 (ت، س)
</w:t>
      </w:r>
    </w:p>
    <w:p>
      <w:pPr/>
      <w:r>
        <w:rPr/>
        <w:t xml:space="preserve">أحمد بن نصر (ت، س) </w:t>
      </w:r>
    </w:p>
    <w:p/>
    <w:p>
      <w:pPr/>
      <w:r>
        <w:rPr/>
        <w:t xml:space="preserve">الإمام الحافظ، أبو عبد الله القرشي النيسابوري، فقيه نيسابور ومقرئها وزاهدها.</w:t>
      </w:r>
    </w:p>
    <w:p/>
    <w:p>
      <w:pPr/>
      <w:r>
        <w:rPr/>
        <w:t xml:space="preserve">حدث عن: ابن نمير، والنضر بن شميل، وابن أبي فديك، وطبقتهم.</w:t>
      </w:r>
    </w:p>
    <w:p/>
    <w:p>
      <w:pPr/>
      <w:r>
        <w:rPr/>
        <w:t xml:space="preserve">وعنه: سلمة بن شبيب، وابن خزيمة، وأبو عروبة، وغيرهم.</w:t>
      </w:r>
    </w:p>
    <w:p/>
    <w:p>
      <w:pPr/>
      <w:r>
        <w:rPr/>
        <w:t xml:space="preserve">قال الحاكم: هو فقيه أهل الحديث في عصره بنيسابور، وعليه تفقه ابن خزيمة قبل أن يرحل.</w:t>
      </w:r>
    </w:p>
    <w:p/>
    <w:p>
      <w:pPr/>
      <w:r>
        <w:rPr/>
        <w:t xml:space="preserve">مات سنة خمس وأربعين ومئتين. رحمه الله تعالى.</w:t>
      </w:r>
    </w:p>
    <w:p/>
    <w:p>
      <w:pPr/>
      <w:r>
        <w:rPr/>
        <w:t xml:space="preserve">ومات معه: أحمد بن عبدة الضبي البصري، ومقرئ مكة أبو الحسن أحمد بن محمد بن عون القواس النبال، وإسماعيل بن موسى الفزاري - ابن بنت السدي - الكوفي، وعبد الله بن عمران العابدي المكي، وشيخ الصوفية ذو النون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2026-08-05T13:05:05+03:00</dcterms:created>
  <dcterms:modified xsi:type="dcterms:W3CDTF">2026-08-05T13:05:05+03:00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