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زرعة الجرجاني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زرعة الجرجاني
</w:t>
      </w:r>
    </w:p>
    <w:p>
      <w:pPr/>
      <w:r>
        <w:rPr/>
        <w:t xml:space="preserve">أبو زرعة الجرجاني </w:t>
      </w:r>
    </w:p>
    <w:p/>
    <w:p>
      <w:pPr/>
      <w:r>
        <w:rPr/>
        <w:t xml:space="preserve">أحمد بن حميد، الحافظ الصيدلاني.</w:t>
      </w:r>
    </w:p>
    <w:p/>
    <w:p>
      <w:pPr/>
      <w:r>
        <w:rPr/>
        <w:t xml:space="preserve">ذكره حمزة السهمي في ’’تاريخه’’ فقال: حافظٌ عارفٌ بالعلل، مات بمكة. سمع يحيى بن سعيد القطان وطبقته. روى عنه موسى بن هارون الحمال. سمعت الإسماعيلي، سمعت أبا عمران بن هانئ يقول: كان أبو زرعة الجرجاني أحفظ من أبي زرعة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علماء الحديث،(مؤسسة الرسالة للطباعة والنشر والتوزيع، بيروت - لبنان،1996،ط 2،ج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2026-08-05T17:01:38+03:00</dcterms:created>
  <dcterms:modified xsi:type="dcterms:W3CDTF">2026-08-05T17:01:38+03:00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