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عبادة بن كناز بن أودع بن كثير بن عمران بن عامر بن إياد بن عامر بن غافق من الأزد وهو أبو موسى الغافقي سكن مصر
</w:t>
      </w:r>
    </w:p>
    <w:p>
      <w:pPr>
        <w:jc w:val="start"/>
        <w:bidi/>
      </w:pPr>
      <w:r>
        <w:rPr>
          <w:rFonts w:ascii="arial" w:hAnsi="arial" w:eastAsia="arial" w:cs="arial"/>
          <w:sz w:val="28"/>
          <w:szCs w:val="28"/>
          <w:b w:val="1"/>
          <w:bCs w:val="1"/>
          <w:rtl/>
        </w:rPr>
        <w:t xml:space="preserve">مالك بن عبد الله بن عبادة بن كناز بن أودع بن كثير بن عمران بن عامر بن إياد بن عامر بن غافق من الأزد وهو أبو موسى الغافقي سكن مصر
</w:t>
      </w:r>
    </w:p>
    <w:p>
      <w:pPr/>
      <w:r>
        <w:rPr/>
        <w:t xml:space="preserve">مالك بن عبد الله بن عبادة بن كناز بن أودع بن كثير بن عمران بن عامر بن إياد بن عامر بن غافق من الأزد وهو أبو موسى الغافقي سكن مصر </w:t>
      </w:r>
    </w:p>
    <w:p/>
    <w:p>
      <w:pPr/>
      <w:r>
        <w:rPr/>
        <w:t xml:space="preserve">حدثنا عبد الله بن محمد، نا هارون بن عبد الله، نا هشام بن سعيد الطالقاني، نا ابن لهيعة، عن عبد الله بن سليمان، عن ثعلبة بن الكنود، عن مالك بن عبد الله الغافقي قال: «أكل رسول الله صلى الله عليه وسلم وهو جنبٌ» وقال: «استر علي» فاغتسل فأتيت عمر فحدثته فلببني ثم أتى النبي صلى الله عليه وسلم فقال يا رسول الله، إن هذا يزعم أنك أكلت وأنت جنبٌ قال؟: «نعم إذا توضأت أكلت ولكن لا أقرأ القرآن إلا وأنا طاهرٌ»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2026-10-11T10:34:28+03:00</dcterms:created>
  <dcterms:modified xsi:type="dcterms:W3CDTF">2026-10-11T10:34:28+03:00</dcterms:modified>
</cp:coreProperties>
</file>

<file path=docProps/custom.xml><?xml version="1.0" encoding="utf-8"?>
<Properties xmlns="http://schemas.openxmlformats.org/officeDocument/2006/custom-properties" xmlns:vt="http://schemas.openxmlformats.org/officeDocument/2006/docPropsVTypes"/>
</file>