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البجلي وقيل: إنه أخو الأشعث بن قيس لأمه
</w:t>
      </w:r>
    </w:p>
    <w:p>
      <w:pPr>
        <w:jc w:val="start"/>
        <w:bidi/>
      </w:pPr>
      <w:r>
        <w:rPr>
          <w:rFonts w:ascii="arial" w:hAnsi="arial" w:eastAsia="arial" w:cs="arial"/>
          <w:sz w:val="28"/>
          <w:szCs w:val="28"/>
          <w:b w:val="1"/>
          <w:bCs w:val="1"/>
          <w:rtl/>
        </w:rPr>
        <w:t xml:space="preserve">عفيفٌ البجلي وقيل: إنه أخو الأشعث بن قيس لأمه
</w:t>
      </w:r>
    </w:p>
    <w:p>
      <w:pPr/>
      <w:r>
        <w:rPr/>
        <w:t xml:space="preserve">عفيفٌ البجلي وقيل: إنه أخو الأشعث بن قيس لأمه </w:t>
      </w:r>
    </w:p>
    <w:p/>
    <w:p>
      <w:pPr/>
      <w:r>
        <w:rPr/>
        <w:t xml:space="preserve">حدثنا محمد بن يونس، نا الحسن بن عنبسة الوراق، نا سعيد بن خثيم، نا عفيف بن يحيى بن عفيف، عن أبيه، عن جده عفيف البجلي قال: قدمت مكة لأبتاع من عطرها، فنزلت على العباس بن عبد المطلب، فجاء شاب، فدخل المسجد وجاء شاب فدخل المسجد، فقام عن يمينه، وجاءت امرأةٌ فقامت خلفهما، فكبر الشاب وركع، فركعا وسجدا، فقلت: يا عباس أمرٌ عظيمٌ قال: «هذا ابن أخي، محمدٌ عليه السلام وهذا علي، وهذه خديجة، ما على هذا الدين غيرهم» حدثنا محمد بن جرير، نا محمد بن حميد، نا سلمة، عن محمد بن إسحاق، عن يحيى بن الأشعث، عن إسماعيل بن إياس بن عفيف، عن أبيه، عن جده عفيف فذكر نحوه، وقال عفيفٌ بعد ما أسلم: يعني: «كنت رابعاً»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2026-10-11T10:33:52+03:00</dcterms:created>
  <dcterms:modified xsi:type="dcterms:W3CDTF">2026-10-11T10:33:52+03:00</dcterms:modified>
</cp:coreProperties>
</file>

<file path=docProps/custom.xml><?xml version="1.0" encoding="utf-8"?>
<Properties xmlns="http://schemas.openxmlformats.org/officeDocument/2006/custom-properties" xmlns:vt="http://schemas.openxmlformats.org/officeDocument/2006/docPropsVTypes"/>
</file>