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عرفجة بن أسعد بن جندل بن منقر بن عبد الحارث بن عمرو بن كعب بن سعد بن تميم
</w:t>
      </w:r>
    </w:p>
    <w:p>
      <w:pPr>
        <w:jc w:val="start"/>
        <w:bidi/>
      </w:pPr>
      <w:r>
        <w:rPr>
          <w:rFonts w:ascii="arial" w:hAnsi="arial" w:eastAsia="arial" w:cs="arial"/>
          <w:sz w:val="28"/>
          <w:szCs w:val="28"/>
          <w:b w:val="1"/>
          <w:bCs w:val="1"/>
          <w:rtl/>
        </w:rPr>
        <w:t xml:space="preserve">عرفجة بن أسعد بن جندل بن منقر بن عبد الحارث بن عمرو بن كعب بن سعد بن تميم
</w:t>
      </w:r>
    </w:p>
    <w:p>
      <w:pPr/>
      <w:r>
        <w:rPr/>
        <w:t xml:space="preserve">عرفجة بن أسعد بن جندل بن منقر بن عبد الحارث بن عمرو بن كعب بن سعد بن تميم </w:t>
      </w:r>
    </w:p>
    <w:p/>
    <w:p>
      <w:pPr/>
      <w:r>
        <w:rPr/>
        <w:t xml:space="preserve">حدثنا بشر بن موسى، نا يعلى بن عباد، وحدثنا إبراهيم بن هاشم، نا حوثرة بن أشرس وحدثنا مسبح بن حاتم، نا محمد بن تميم النهشلي واللفظ له، نا أبو شهاب العطاردي، عن عبد الرحمن بن طرفة بن عرفجة بن أسعد بن منقر، عن أبيه، عن جده، أن أنفه أصيب يوم الكلاب، «فأمره النبي صلى الله عليه وسلم أن يتخذ أنفاً من ذهب»</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2026-10-11T11:34:49+03:00</dcterms:created>
  <dcterms:modified xsi:type="dcterms:W3CDTF">2026-10-11T11:34:49+03:00</dcterms:modified>
</cp:coreProperties>
</file>

<file path=docProps/custom.xml><?xml version="1.0" encoding="utf-8"?>
<Properties xmlns="http://schemas.openxmlformats.org/officeDocument/2006/custom-properties" xmlns:vt="http://schemas.openxmlformats.org/officeDocument/2006/docPropsVTypes"/>
</file>