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فلان 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فلان النميري
</w:t>
      </w:r>
    </w:p>
    <w:p>
      <w:pPr/>
      <w:r>
        <w:rPr/>
        <w:t xml:space="preserve">علي بن فلان النميري </w:t>
      </w:r>
    </w:p>
    <w:p/>
    <w:p>
      <w:pPr/>
      <w:r>
        <w:rPr/>
        <w:t xml:space="preserve">حدثنا معاذ بن المثنى، نا أحمد بن عمرو بن واصل، نا فضيل بن سليمان، عن عائذ بن ربيعة بن قيس النميري، عن علي بن فلان بن عبد الله النميري قال: أتيت رسول الله صلى الله عليه وسلم فسمعته يقول: «المسلم أخو المسلم، إذا لقيه حياه بالسلام يرد عليه ما هو خيرٌ منه، لا يمنع الماعون»، قلت: يا رسول الله، ما الماعون؟ قال: «الحجر والحديد والماء وأشباه ذلك»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2026-10-11T11:33:31+03:00</dcterms:created>
  <dcterms:modified xsi:type="dcterms:W3CDTF">2026-10-11T11:33:31+03:00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