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ولم ينسبه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ولم ينسبه
</w:t>
      </w:r>
    </w:p>
    <w:p>
      <w:pPr/>
      <w:r>
        <w:rPr/>
        <w:t xml:space="preserve">عمارة ولم ينسبه </w:t>
      </w:r>
    </w:p>
    <w:p/>
    <w:p>
      <w:pPr/>
      <w:r>
        <w:rPr/>
        <w:t xml:space="preserve">حدثنا أحمد بن عبيد الله بن جرير القاضي، نا أحمد بن أبان، نا عبد العزيز بن محمد، عن عمرو بن يحيى، عن جده سعيد بن عمرو، عن عمارة، أحسبه قال: عن النبي صلى الله عليه وسلم قال: «من أخذ السبع الأول فهو حبرٌ»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2026-10-11T11:32:51+03:00</dcterms:created>
  <dcterms:modified xsi:type="dcterms:W3CDTF">2026-10-11T11:32:51+03:00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