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ضمرة بن العاص الجندعي بن كنانة
</w:t>
      </w:r>
    </w:p>
    <w:p>
      <w:pPr>
        <w:jc w:val="start"/>
        <w:bidi/>
      </w:pPr>
      <w:r>
        <w:rPr>
          <w:rFonts w:ascii="arial" w:hAnsi="arial" w:eastAsia="arial" w:cs="arial"/>
          <w:sz w:val="28"/>
          <w:szCs w:val="28"/>
          <w:b w:val="1"/>
          <w:bCs w:val="1"/>
          <w:rtl/>
        </w:rPr>
        <w:t xml:space="preserve">ضمرة بن العاص الجندعي بن كنانة
</w:t>
      </w:r>
    </w:p>
    <w:p>
      <w:pPr/>
      <w:r>
        <w:rPr/>
        <w:t xml:space="preserve">ضمرة بن العاص الجندعي بن كنانة </w:t>
      </w:r>
    </w:p>
    <w:p/>
    <w:p>
      <w:pPr/>
      <w:r>
        <w:rPr/>
        <w:t xml:space="preserve">حدثنا عبيد بن شريك البزار، نا عبد الغفار بن داود، نا أبو أسامة، عن الوليد بن كثير، عن يزيد بن عبد الله بن قسيط، أن ضمرة بن العاص الجندعي أسلم فحسن إسلامه، فكان يخاف من قدمه أن يهاجر، فمرض، فقال: أخرجوني، فأخرجوه وهو يريد الهجرة، فأدركه الموت، ’’ فنزلت فيه: </w:t>
      </w:r>
    </w:p>
    <w:p>
      <w:pPr/>
      <w:r>
        <w:rPr>
          <w:color w:val="0000ff"/>
        </w:rPr>
        <w:t xml:space="preserve">{ومن يخرج من بيته مهاجراً إلى الله ورسوله ثم يدركه الموت فقد وقع أجره على الله}</w:t>
      </w:r>
    </w:p>
    <w:p>
      <w:pPr/>
      <w:r>
        <w:rPr/>
        <w:t xml:space="preserve"> [النساء: 100]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2026-08-05T18:16:41+03:00</dcterms:created>
  <dcterms:modified xsi:type="dcterms:W3CDTF">2026-08-05T18:16:41+03:00</dcterms:modified>
</cp:coreProperties>
</file>

<file path=docProps/custom.xml><?xml version="1.0" encoding="utf-8"?>
<Properties xmlns="http://schemas.openxmlformats.org/officeDocument/2006/custom-properties" xmlns:vt="http://schemas.openxmlformats.org/officeDocument/2006/docPropsVTypes"/>
</file>