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معاوية بن حيدة بن قشير بن كعب بن ربيعة بن عامر بن صعصعة
</w:t>
      </w:r>
    </w:p>
    <w:p>
      <w:pPr>
        <w:jc w:val="start"/>
        <w:bidi/>
      </w:pPr>
      <w:r>
        <w:rPr>
          <w:rFonts w:ascii="arial" w:hAnsi="arial" w:eastAsia="arial" w:cs="arial"/>
          <w:sz w:val="28"/>
          <w:szCs w:val="28"/>
          <w:b w:val="1"/>
          <w:bCs w:val="1"/>
          <w:rtl/>
        </w:rPr>
        <w:t xml:space="preserve">سعيد بن معاوية بن حيدة بن قشير بن كعب بن ربيعة بن عامر بن صعصعة
</w:t>
      </w:r>
    </w:p>
    <w:p>
      <w:pPr/>
      <w:r>
        <w:rPr/>
        <w:t xml:space="preserve">سعيد بن معاوية بن حيدة بن قشير بن كعب بن ربيعة بن عامر بن صعصعة </w:t>
      </w:r>
    </w:p>
    <w:p/>
    <w:p>
      <w:pPr/>
      <w:r>
        <w:rPr/>
        <w:t xml:space="preserve">حدثنا محمد بن عيسى بن السكن، نا عمرو بن عون، وحدثنا المطين، نا وهب بن بقية، وحدثنا مسبح بن حاتم، نا الحسن بن علي الواسطي قالوا نا خالد بن عبد الله، عن داود بن أبي هند، عن العباس بن عبد الرحمن، عن كندير بن سعيد، عن أبيه قال: ’’حججت في الجاهلية فإذا رجلٌ يرتجز ويقول: رب رد الراكب أمحمداً قالوا: هذا عبد المطلب بن هاشم ذهبت إبله فأرسل ابن ابنه في طلبها فما برحت حتى جاء النبي صلى الله عليه وسلم فقال: «يا بني لقد حزنت عليك هذه المرة حزناً لا يفارقني أبداً»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2026-10-11T13:41:01+03:00</dcterms:created>
  <dcterms:modified xsi:type="dcterms:W3CDTF">2026-10-11T13:41:01+03:00</dcterms:modified>
</cp:coreProperties>
</file>

<file path=docProps/custom.xml><?xml version="1.0" encoding="utf-8"?>
<Properties xmlns="http://schemas.openxmlformats.org/officeDocument/2006/custom-properties" xmlns:vt="http://schemas.openxmlformats.org/officeDocument/2006/docPropsVTypes"/>
</file>