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يزيد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الأنصاري
</w:t>
      </w:r>
    </w:p>
    <w:p>
      <w:pPr/>
      <w:r>
        <w:rPr/>
        <w:t xml:space="preserve">ثابت بن يزيد الأنصاري </w:t>
      </w:r>
    </w:p>
    <w:p/>
    <w:p>
      <w:pPr/>
      <w:r>
        <w:rPr/>
        <w:t xml:space="preserve">حدثنا عثمان بن عمر الضبي، بالبصرة نا عبد الله بن رجاء، نا إسرائيل، عن أبي إسحاق، عن عامر بن سعد البجلي قال: دخلت على أبي مسعود وأبي وثابت بن يزيد وجوار يضربن بدف لهن ويغنين فقلت: تقرون بهذا وأنتم أصحاب رسول الله صلى الله عليه وسلم قالوا: إنه «رخص لنا في الغناء في العرس والبكاء على الميت في غير نوح»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2026-10-11T14:14:34+03:00</dcterms:created>
  <dcterms:modified xsi:type="dcterms:W3CDTF">2026-10-11T14:14:34+03:00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