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جحاف
</w:t>
      </w:r>
    </w:p>
    <w:p>
      <w:pPr>
        <w:jc w:val="start"/>
        <w:bidi/>
      </w:pPr>
      <w:r>
        <w:rPr>
          <w:rFonts w:ascii="arial" w:hAnsi="arial" w:eastAsia="arial" w:cs="arial"/>
          <w:sz w:val="28"/>
          <w:szCs w:val="28"/>
          <w:b w:val="1"/>
          <w:bCs w:val="1"/>
          <w:rtl/>
        </w:rPr>
        <w:t xml:space="preserve">ابن جحاف
</w:t>
      </w:r>
    </w:p>
    <w:p>
      <w:pPr/>
      <w:r>
        <w:rPr/>
        <w:t xml:space="preserve">ابن جحاف </w:t>
      </w:r>
    </w:p>
    <w:p/>
    <w:p>
      <w:pPr/>
      <w:r>
        <w:rPr/>
        <w:t xml:space="preserve">أبو محمد عبد الله بن عبيد الرحمن بن جَحَّاف المعافري من أهل بلنسية. من أرباب البيوت القديمة فيها والنَّباهة، وأبوه مسمًى على التصغير وهو والَّذي قبله مذكوران في “التكملة” توفي في صفر سنة إحدى وخمسين وخمسمائة، ومن شعره ورواه أبو عمر ابن عياد عنه:</w:t>
      </w:r>
    </w:p>
    <w:p/>
    <w:p>
      <w:pPr>
        <w:jc w:val="center"/>
      </w:pPr>
      <w:r>
        <w:rPr>
          <w:color w:val="ff0000"/>
        </w:rPr>
        <w:t xml:space="preserve">هتَّ البُدور على الغُصون المُيَّسِ</w:t>
      </w:r>
      <w:r>
        <w:rPr>
          <w:color w:val="ff0000"/>
        </w:rPr>
        <w:t xml:space="preserve">      </w:t>
      </w:r>
      <w:r>
        <w:rPr>
          <w:color w:val="ff0000"/>
        </w:rPr>
        <w:t xml:space="preserve">طَلَعَتْ فكان مَقامُها في الأنفسِ</w:t>
      </w:r>
    </w:p>
    <w:p/>
    <w:p>
      <w:pPr>
        <w:jc w:val="center"/>
      </w:pPr>
      <w:r>
        <w:rPr>
          <w:color w:val="ff0000"/>
        </w:rPr>
        <w:t xml:space="preserve">يرفُلْنَ في حللِ الحَرير تأوُّداً</w:t>
      </w:r>
      <w:r>
        <w:rPr>
          <w:color w:val="ff0000"/>
        </w:rPr>
        <w:t xml:space="preserve">      </w:t>
      </w:r>
      <w:r>
        <w:rPr>
          <w:color w:val="ff0000"/>
        </w:rPr>
        <w:t xml:space="preserve">وقد انتَقَبْنَ براقِعاً مِن سندسِ</w:t>
      </w:r>
    </w:p>
    <w:p/>
    <w:p>
      <w:pPr>
        <w:jc w:val="center"/>
      </w:pPr>
      <w:r>
        <w:rPr>
          <w:color w:val="ff0000"/>
        </w:rPr>
        <w:t xml:space="preserve">وإذا مررنَ أثرنَ ما بي من هوًى</w:t>
      </w:r>
      <w:r>
        <w:rPr>
          <w:color w:val="ff0000"/>
        </w:rPr>
        <w:t xml:space="preserve">      </w:t>
      </w:r>
      <w:r>
        <w:rPr>
          <w:color w:val="ff0000"/>
        </w:rPr>
        <w:t xml:space="preserve">يا حُسنهنَّ وحسنَ ذاك الملبسِ</w:t>
      </w:r>
    </w:p>
    <w:p/>
    <w:p>
      <w:pPr/>
      <w:r>
        <w:rPr/>
        <w:t xml:space="preserve">ومنه:</w:t>
      </w:r>
    </w:p>
    <w:p/>
    <w:p>
      <w:pPr>
        <w:jc w:val="center"/>
      </w:pPr>
      <w:r>
        <w:rPr>
          <w:color w:val="ff0000"/>
        </w:rPr>
        <w:t xml:space="preserve">يا أيُّها القمرُ الَّذي</w:t>
      </w:r>
      <w:r>
        <w:rPr>
          <w:color w:val="ff0000"/>
        </w:rPr>
        <w:t xml:space="preserve">      </w:t>
      </w:r>
      <w:r>
        <w:rPr>
          <w:color w:val="ff0000"/>
        </w:rPr>
        <w:t xml:space="preserve">قدْ صرتُ فيه كالسُّهَى</w:t>
      </w:r>
    </w:p>
    <w:p/>
    <w:p>
      <w:pPr>
        <w:jc w:val="center"/>
      </w:pPr>
      <w:r>
        <w:rPr>
          <w:color w:val="ff0000"/>
        </w:rPr>
        <w:t xml:space="preserve">أدَمي بخدِّك أمْ جرَى</w:t>
      </w:r>
      <w:r>
        <w:rPr>
          <w:color w:val="ff0000"/>
        </w:rPr>
        <w:t xml:space="preserve">      </w:t>
      </w:r>
      <w:r>
        <w:rPr>
          <w:color w:val="ff0000"/>
        </w:rPr>
        <w:t xml:space="preserve">ماءُ العقيقِ على المَهَا</w:t>
      </w:r>
    </w:p>
    <w:p/>
    <w:p>
      <w:pPr>
        <w:jc w:val="center"/>
      </w:pPr>
      <w:r>
        <w:rPr>
          <w:color w:val="ff0000"/>
        </w:rPr>
        <w:t xml:space="preserve">خُذْ مُهجَتي وهبِ الرِّضَى</w:t>
      </w:r>
      <w:r>
        <w:rPr>
          <w:color w:val="ff0000"/>
        </w:rPr>
        <w:t xml:space="preserve">      </w:t>
      </w:r>
      <w:r>
        <w:rPr>
          <w:color w:val="ff0000"/>
        </w:rPr>
        <w:t xml:space="preserve">واجعلهُما هاءً وها</w:t>
      </w:r>
    </w:p>
    <w:p/>
    <w:p>
      <w:pPr>
        <w:jc w:val="start"/>
        <w:bidi/>
      </w:pPr>
      <w:r>
        <w:rPr>
          <w:sz w:val="24"/>
          <w:szCs w:val="24"/>
          <w:b w:val="1"/>
          <w:bCs w:val="1"/>
          <w:rtl/>
        </w:rPr>
        <w:t xml:space="preserve">
تحفة القادم،(دار الغرب الإسلامي - تونس،1986،ط 1،ج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2026-10-11T15:06:26+03:00</dcterms:created>
  <dcterms:modified xsi:type="dcterms:W3CDTF">2026-10-11T15:06:26+03:00</dcterms:modified>
</cp:coreProperties>
</file>

<file path=docProps/custom.xml><?xml version="1.0" encoding="utf-8"?>
<Properties xmlns="http://schemas.openxmlformats.org/officeDocument/2006/custom-properties" xmlns:vt="http://schemas.openxmlformats.org/officeDocument/2006/docPropsVTypes"/>
</file>