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محارب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محارب
</w:t>
      </w:r>
    </w:p>
    <w:p>
      <w:pPr/>
      <w:r>
        <w:rPr/>
        <w:t xml:space="preserve">ابن محارب </w:t>
      </w:r>
    </w:p>
    <w:p/>
    <w:p>
      <w:pPr/>
      <w:r>
        <w:rPr/>
        <w:t xml:space="preserve">أبو محمد مُحارب بن محمد بن مُحارب: من أهل وادي آش، له يمدح القاضي أبا الفضل عياض بن موسى بن عياض أثناء مقامةٍ من إنشائه:</w:t>
      </w:r>
    </w:p>
    <w:p/>
    <w:p>
      <w:pPr>
        <w:jc w:val="center"/>
      </w:pPr>
      <w:r>
        <w:rPr>
          <w:color w:val="ff0000"/>
        </w:rPr>
        <w:t xml:space="preserve">غَدا سَلِسَ القِيادِ فما يُراضُ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وعَمَّ جَميعَ لِمَّته البَياضُ</w:t>
      </w:r>
    </w:p>
    <w:p/>
    <w:p>
      <w:pPr>
        <w:jc w:val="center"/>
      </w:pPr>
      <w:r>
        <w:rPr>
          <w:color w:val="ff0000"/>
        </w:rPr>
        <w:t xml:space="preserve">وأَضحى القلبُ لا تُصيبه هِندٌ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سلمَى ولا الحَدَقُ المِراضُ</w:t>
      </w:r>
    </w:p>
    <w:p/>
    <w:p>
      <w:pPr>
        <w:jc w:val="center"/>
      </w:pPr>
      <w:r>
        <w:rPr>
          <w:color w:val="ff0000"/>
        </w:rPr>
        <w:t xml:space="preserve">ولا يُشْجيه طِيبُ نَسيمِ نَجْدٍ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تُسليه بالزَّهَرِ الرِّياضُ</w:t>
      </w:r>
    </w:p>
    <w:p/>
    <w:p>
      <w:pPr>
        <w:jc w:val="center"/>
      </w:pPr>
      <w:r>
        <w:rPr>
          <w:color w:val="ff0000"/>
        </w:rPr>
        <w:t xml:space="preserve">وإنْ غنَّى الحَمامُ بغُصْنِ أيْكٍ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فمِن عضِّ الزَّمانِ به عِضَاضُ</w:t>
      </w:r>
    </w:p>
    <w:p/>
    <w:p>
      <w:pPr>
        <w:jc w:val="center"/>
      </w:pPr>
      <w:r>
        <w:rPr>
          <w:color w:val="ff0000"/>
        </w:rPr>
        <w:t xml:space="preserve">وقائلةٍ أتكرعُ في ثِمادٍ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لاحتْ لرائدها الحِياضُ</w:t>
      </w:r>
    </w:p>
    <w:p/>
    <w:p>
      <w:pPr>
        <w:jc w:val="center"/>
      </w:pPr>
      <w:r>
        <w:rPr>
          <w:color w:val="ff0000"/>
        </w:rPr>
        <w:t xml:space="preserve">إلى كم ذا تقولُ لكُلِّ خَطْبٍ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مقالةَ من ألمَّ بها المَخاضُ</w:t>
      </w:r>
    </w:p>
    <w:p/>
    <w:p>
      <w:pPr>
        <w:jc w:val="center"/>
      </w:pPr>
      <w:r>
        <w:rPr>
          <w:color w:val="ff0000"/>
        </w:rPr>
        <w:t xml:space="preserve">وتَنقبضُ انقباضَ العَيِّ حتَّى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أضرَّ بكَ السُّكون والانقباض</w:t>
      </w:r>
    </w:p>
    <w:p/>
    <w:p>
      <w:pPr>
        <w:jc w:val="center"/>
      </w:pPr>
      <w:r>
        <w:rPr>
          <w:color w:val="ff0000"/>
        </w:rPr>
        <w:t xml:space="preserve">وَوَجْدُ بني عِياضٍ بالمَعالي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مَدَى الدُّنيا حديثٌ مُستفاضُ</w:t>
      </w:r>
    </w:p>
    <w:p/>
    <w:p>
      <w:pPr>
        <w:jc w:val="center"/>
      </w:pPr>
      <w:r>
        <w:rPr>
          <w:color w:val="ff0000"/>
        </w:rPr>
        <w:t xml:space="preserve">إذا قُصِدوا أثاروا الجُودَ بحراً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وسالُوا بالمكارم ثمَّ فاضوا</w:t>
      </w:r>
    </w:p>
    <w:p/>
    <w:p>
      <w:pPr>
        <w:jc w:val="center"/>
      </w:pPr>
      <w:r>
        <w:rPr>
          <w:color w:val="ff0000"/>
        </w:rPr>
        <w:t xml:space="preserve">فقلتُ لها ومَن منهم عِياذي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فقالت ذاك سيّدهم عِياض</w:t>
      </w:r>
    </w:p>
    <w:p/>
    <w:p>
      <w:pPr>
        <w:jc w:val="center"/>
      </w:pPr>
      <w:r>
        <w:rPr>
          <w:color w:val="ff0000"/>
        </w:rPr>
        <w:t xml:space="preserve">إمامٌ زانَهُ عِلْمٌ وحِلم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بالخُطةِ العُليا انتهاض</w:t>
      </w:r>
    </w:p>
    <w:p/>
    <w:p>
      <w:pPr>
        <w:jc w:val="center"/>
      </w:pPr>
      <w:r>
        <w:rPr>
          <w:color w:val="ff0000"/>
        </w:rPr>
        <w:t xml:space="preserve">يُقارضُ من أساء بحُسْنِ صَبرٍ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وأمرُ الدِّينِ والدُّنيا قِراض</w:t>
      </w:r>
    </w:p>
    <w:p/>
    <w:p>
      <w:pPr>
        <w:jc w:val="center"/>
      </w:pPr>
      <w:r>
        <w:rPr>
          <w:color w:val="ff0000"/>
        </w:rPr>
        <w:t xml:space="preserve">ففي الآداب جَدْولُ ماءِ مُزنٍ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الآراء نَحرٌ لا يُخاض</w:t>
      </w:r>
    </w:p>
    <w:p/>
    <w:p>
      <w:pPr>
        <w:jc w:val="center"/>
      </w:pPr>
      <w:r>
        <w:rPr>
          <w:color w:val="ff0000"/>
        </w:rPr>
        <w:t xml:space="preserve">ويُبرمُ ما يَرومُ فليس يُخشَى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أمرٍ قد ابرمه مُضاض</w:t>
      </w:r>
    </w:p>
    <w:p/>
    <w:p>
      <w:pPr>
        <w:jc w:val="center"/>
      </w:pPr>
      <w:r>
        <w:rPr>
          <w:color w:val="ff0000"/>
        </w:rPr>
        <w:t xml:space="preserve">يَهيم بكُل مَعْلُوةٍ وفَضْلٍ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قد هامَ بالعَلْيا مُضاض</w:t>
      </w:r>
    </w:p>
    <w:p/>
    <w:p>
      <w:pPr>
        <w:jc w:val="center"/>
      </w:pPr>
      <w:r>
        <w:rPr>
          <w:color w:val="ff0000"/>
        </w:rPr>
        <w:t xml:space="preserve">ومَن تَعْلَقْ حِبالَ بني عِياضٍ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يداه فلا يُضامُ ولا يُهاضُ</w:t>
      </w:r>
    </w:p>
    <w:p/>
    <w:p>
      <w:pPr/>
      <w:r>
        <w:rPr/>
        <w:t xml:space="preserve">قلت: أنشدني أبو عبد الله محمد بن محمد بن عبد العزيز الشاطبي صاحبنا بحضرة تونس قال: أنشدنا الإمام تقيّ الدين أبو عمرو ابن الصلاح لنفسه في “مشارق الأنوار” وكان لا يُغبُّ مطالعته والاستفادةَ منه بعد قعوده لإسماع الحديث بالدار الأشرفية بدمشق:</w:t>
      </w:r>
    </w:p>
    <w:p/>
    <w:p>
      <w:pPr>
        <w:jc w:val="center"/>
      </w:pPr>
      <w:r>
        <w:rPr>
          <w:color w:val="ff0000"/>
        </w:rPr>
        <w:t xml:space="preserve">مَشارقُ أنوارٍ تبدَّتْ بِسَبتةٍ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عجبٌ كونُ المَشارِقِ بالغَرْبِ</w:t>
      </w:r>
    </w:p>
    <w:p/>
    <w:p>
      <w:pPr/>
      <w:r>
        <w:rPr/>
        <w:t xml:space="preserve">وذكر الأبيات التي أولها: “ظلموا عياضاً” ونسبها إلى عامر المالقي.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2026-10-11T16:09:46+03:00</dcterms:created>
  <dcterms:modified xsi:type="dcterms:W3CDTF">2026-10-11T16:09:46+03:00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