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خداش بن إبراهيم بن ميسرة، أبو خداش الباخرزيّ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خداش بن إبراهيم بن ميسرة، أبو خداش الباخرزيّ
</w:t>
      </w:r>
    </w:p>
    <w:p>
      <w:pPr/>
      <w:r>
        <w:rPr/>
        <w:t xml:space="preserve">محمد بن سعيد بن خداش بن إبراهيم بن ميسرة، أبو خداش الباخرزيّ </w:t>
      </w:r>
    </w:p>
    <w:p/>
    <w:p>
      <w:pPr/>
      <w:r>
        <w:rPr/>
        <w:t xml:space="preserve">له شعر يعتمد فيه الرّقة دفعة والإغراب أخرى، فمن شعره: متقارب:</w:t>
      </w:r>
    </w:p>
    <w:p/>
    <w:p>
      <w:pPr>
        <w:jc w:val="center"/>
      </w:pPr>
      <w:r>
        <w:rPr>
          <w:color w:val="ff0000"/>
        </w:rPr>
        <w:t xml:space="preserve">أطاع النّهى قلبه المختلب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وعاصى دواعي الهوى والطّرب</w:t>
      </w:r>
    </w:p>
    <w:p/>
    <w:p>
      <w:pPr>
        <w:jc w:val="center"/>
      </w:pPr>
      <w:r>
        <w:rPr>
          <w:color w:val="ff0000"/>
        </w:rPr>
        <w:t xml:space="preserve">وشمّر ذيل الصّبا نازعاً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الواسمات له بالرّيب</w:t>
      </w:r>
    </w:p>
    <w:p/>
    <w:p>
      <w:pPr>
        <w:jc w:val="center"/>
      </w:pPr>
      <w:r>
        <w:rPr>
          <w:color w:val="ff0000"/>
        </w:rPr>
        <w:t xml:space="preserve">يراعى النّجوم بعين الهمو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كئيباً، ومن يغترب يكتئب</w:t>
      </w:r>
    </w:p>
    <w:p/>
    <w:p>
      <w:pPr>
        <w:jc w:val="center"/>
      </w:pPr>
      <w:r>
        <w:rPr>
          <w:color w:val="ff0000"/>
        </w:rPr>
        <w:t xml:space="preserve">ثوى بالمدينة عاماً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دراكاً إلى رجب من رجب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وبيضاء كالشّمس رؤد الشبا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ربيبة بيت عزيز الطّنب</w:t>
      </w:r>
    </w:p>
    <w:p/>
    <w:p>
      <w:pPr>
        <w:jc w:val="center"/>
      </w:pPr>
      <w:r>
        <w:rPr>
          <w:color w:val="ff0000"/>
        </w:rPr>
        <w:t xml:space="preserve">كأنّ بفيها بعيد الرّقا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 وقد صعد النجم إذ قد كرب</w:t>
      </w:r>
    </w:p>
    <w:p/>
    <w:p>
      <w:pPr>
        <w:jc w:val="center"/>
      </w:pPr>
      <w:r>
        <w:rPr>
          <w:color w:val="ff0000"/>
        </w:rPr>
        <w:t xml:space="preserve">عتيق العقار بمسك التّجا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بأريٍ يشاب ولم يؤتشب</w:t>
      </w:r>
    </w:p>
    <w:p/>
    <w:p>
      <w:pPr>
        <w:jc w:val="center"/>
      </w:pPr>
      <w:r>
        <w:rPr>
          <w:color w:val="ff0000"/>
        </w:rPr>
        <w:t xml:space="preserve">تمتّعت منها بطيب السّما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 وجانبت في الله ما لم يطب</w:t>
      </w:r>
    </w:p>
    <w:p/>
    <w:p>
      <w:pPr>
        <w:jc w:val="center"/>
      </w:pPr>
      <w:r>
        <w:rPr>
          <w:color w:val="ff0000"/>
        </w:rPr>
        <w:t xml:space="preserve">وصفراء كالمسك إن ذقتها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بشمٍّ وفي لونها كالذّهب</w:t>
      </w:r>
    </w:p>
    <w:p/>
    <w:p>
      <w:pPr>
        <w:jc w:val="center"/>
      </w:pPr>
      <w:r>
        <w:rPr>
          <w:color w:val="ff0000"/>
        </w:rPr>
        <w:t xml:space="preserve">إذا هي ريضت بقرع المزا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 ترامى لها شرر كالشّهب</w:t>
      </w:r>
    </w:p>
    <w:p/>
    <w:p>
      <w:pPr>
        <w:jc w:val="center"/>
      </w:pPr>
      <w:r>
        <w:rPr>
          <w:color w:val="ff0000"/>
        </w:rPr>
        <w:t xml:space="preserve">فمنها مصابيح شرّابها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وطيب النّدامى إذا ما تصب</w:t>
      </w:r>
    </w:p>
    <w:p/>
    <w:p>
      <w:pPr>
        <w:jc w:val="center"/>
      </w:pPr>
      <w:r>
        <w:rPr>
          <w:color w:val="ff0000"/>
        </w:rPr>
        <w:t xml:space="preserve">شهدت مجالسها للحدي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ث وعاصيت في شربها من شرب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أجارّة بيتي بعض الملا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فلومك نارٌ وقلبي حطب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2026-10-11T16:14:35+03:00</dcterms:created>
  <dcterms:modified xsi:type="dcterms:W3CDTF">2026-10-11T16:14:35+03:00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