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الحرميّ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الحرميّ
</w:t>
      </w:r>
    </w:p>
    <w:p>
      <w:pPr/>
      <w:r>
        <w:rPr/>
        <w:t xml:space="preserve">محمد بن سليمان الحرميّ </w:t>
      </w:r>
    </w:p>
    <w:p/>
    <w:p>
      <w:pPr/>
      <w:r>
        <w:rPr/>
        <w:t xml:space="preserve">شاعر كان في خدمة محمد بن طاهر بن عبد الله بن طاهر فلما زال أمره على يد يعقوب الصفّار، قال محمد بن سليمان: كامل:</w:t>
      </w:r>
    </w:p>
    <w:p/>
    <w:p>
      <w:pPr>
        <w:jc w:val="center"/>
      </w:pPr>
      <w:r>
        <w:rPr>
          <w:color w:val="ff0000"/>
        </w:rPr>
        <w:t xml:space="preserve">من كان يدري أنّ مثل محمّد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يغتاله خطب الزّمان الأنكد</w:t>
      </w:r>
    </w:p>
    <w:p/>
    <w:p>
      <w:pPr>
        <w:jc w:val="center"/>
      </w:pPr>
      <w:r>
        <w:rPr>
          <w:color w:val="ff0000"/>
        </w:rPr>
        <w:t xml:space="preserve">وهو الذي لولاه ما افترع النّدى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عذر المكارم والنّهى والسّؤدد</w:t>
      </w:r>
    </w:p>
    <w:p/>
    <w:p>
      <w:pPr>
        <w:jc w:val="center"/>
      </w:pPr>
      <w:r>
        <w:rPr>
          <w:color w:val="ff0000"/>
        </w:rPr>
        <w:t xml:space="preserve">قل للخلافة فلتمت إن لم يمت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يعقوب ميتة حائر متلدّد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2026-10-11T16:10:43+03:00</dcterms:created>
  <dcterms:modified xsi:type="dcterms:W3CDTF">2026-10-11T16:10:43+03:00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