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الغزنوي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الغزنوي
</w:t>
      </w:r>
    </w:p>
    <w:p>
      <w:pPr/>
      <w:r>
        <w:rPr/>
        <w:t xml:space="preserve">محمد بن سعيد الغزنوي </w:t>
      </w:r>
    </w:p>
    <w:p/>
    <w:p>
      <w:pPr/>
      <w:r>
        <w:rPr/>
        <w:t xml:space="preserve">شاعر مذكور، مشهور في ناحيته، وذكره البيهقي في “الوشاح”، قال في فتح هناك ويمدح السلطان بهرام شاه: بسيط:</w:t>
      </w:r>
    </w:p>
    <w:p/>
    <w:p>
      <w:pPr>
        <w:jc w:val="center"/>
      </w:pPr>
      <w:r>
        <w:rPr>
          <w:color w:val="ff0000"/>
        </w:rPr>
        <w:t xml:space="preserve">حكم السياسة عدلٌ فيه مزدجرٌ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لمن أصرّ على سوءٍ وما انتصحا</w:t>
      </w:r>
    </w:p>
    <w:p/>
    <w:p>
      <w:pPr>
        <w:jc w:val="center"/>
      </w:pPr>
      <w:r>
        <w:rPr>
          <w:color w:val="ff0000"/>
        </w:rPr>
        <w:t xml:space="preserve">ظنّ الظنون فغرّته غباوته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وطرفه لأكاذيب المنى طمحا</w:t>
      </w:r>
    </w:p>
    <w:p/>
    <w:p>
      <w:pPr>
        <w:jc w:val="center"/>
      </w:pPr>
      <w:r>
        <w:rPr>
          <w:color w:val="ff0000"/>
        </w:rPr>
        <w:t xml:space="preserve">أمنيّة كبرت عن وزره فدعت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المنيّة منه حالكاً وقحا</w:t>
      </w:r>
    </w:p>
    <w:p/>
    <w:p>
      <w:pPr>
        <w:jc w:val="center"/>
      </w:pPr>
      <w:r>
        <w:rPr>
          <w:color w:val="ff0000"/>
        </w:rPr>
        <w:t xml:space="preserve">وأين تبدو السّها والشمس قد طلعت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والكلب، كيف يضرّ البدر إن نبحا</w:t>
      </w:r>
    </w:p>
    <w:p/>
    <w:p>
      <w:pPr/>
      <w:r>
        <w:rPr/>
        <w:t xml:space="preserve">وهي طويلة في المدح.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2026-10-11T16:10:35+03:00</dcterms:created>
  <dcterms:modified xsi:type="dcterms:W3CDTF">2026-10-11T16:10:35+03:00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