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السرّاج المالقيّ الأندلسيّ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السرّاج المالقيّ الأندلسيّ
</w:t>
      </w:r>
    </w:p>
    <w:p>
      <w:pPr/>
      <w:r>
        <w:rPr/>
        <w:t xml:space="preserve">محمد بن السرّاج المالقيّ الأندلسيّ </w:t>
      </w:r>
    </w:p>
    <w:p/>
    <w:p>
      <w:pPr/>
      <w:r>
        <w:rPr/>
        <w:t xml:space="preserve">شاعر، أديب مشهور، فمن شعره: طويل: </w:t>
      </w:r>
    </w:p>
    <w:p/>
    <w:p>
      <w:pPr>
        <w:jc w:val="center"/>
      </w:pPr>
      <w:r>
        <w:rPr>
          <w:color w:val="ff0000"/>
        </w:rPr>
        <w:t xml:space="preserve">وكم عنّ يوم النّحر من نحر شادن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لعيني بأطواق الجمال مطوّق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2026-10-11T21:18:22+03:00</dcterms:created>
  <dcterms:modified xsi:type="dcterms:W3CDTF">2026-10-11T21:18:22+03:00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