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سلطان شاعر 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سلطان شاعر مغربي
</w:t>
      </w:r>
    </w:p>
    <w:p>
      <w:pPr/>
      <w:r>
        <w:rPr/>
        <w:t xml:space="preserve">محمد بن سلطان شاعر مغربي </w:t>
      </w:r>
    </w:p>
    <w:p/>
    <w:p>
      <w:pPr/>
      <w:r>
        <w:rPr/>
        <w:t xml:space="preserve">ذكره البيهقيفي كتاب “الوشاح”، وأنشد له في وصف مبضع الجرّاح: خفيف:</w:t>
      </w:r>
    </w:p>
    <w:p/>
    <w:p>
      <w:pPr>
        <w:jc w:val="center"/>
      </w:pPr>
      <w:r>
        <w:rPr>
          <w:color w:val="ff0000"/>
        </w:rPr>
        <w:t xml:space="preserve">وصغار كأنّها ألسن الطيّ</w:t>
      </w:r>
      <w:r>
        <w:rPr>
          <w:color w:val="ff0000"/>
        </w:rPr>
        <w:t xml:space="preserve">      </w:t>
      </w:r>
      <w:r>
        <w:rPr>
          <w:color w:val="ff0000"/>
        </w:rPr>
        <w:t xml:space="preserve">ر تخوض النّفوس والأجساما</w:t>
      </w:r>
    </w:p>
    <w:p/>
    <w:p>
      <w:pPr/>
      <w:r>
        <w:rPr/>
        <w:t xml:space="preserve">تبطل الدّاء باللّثام وتشفيوهي إن شئت تورث الأسقاما</w:t>
      </w:r>
    </w:p>
    <w:p/>
    <w:p>
      <w:pPr>
        <w:jc w:val="center"/>
      </w:pPr>
      <w:r>
        <w:rPr>
          <w:color w:val="ff0000"/>
        </w:rPr>
        <w:t xml:space="preserve">ولها أرجلٌ ثلاثٌ ولكن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بالرجل لا تطيق القياما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2026-10-11T21:15:57+03:00</dcterms:created>
  <dcterms:modified xsi:type="dcterms:W3CDTF">2026-10-11T21:15:57+03:00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