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الأمير الإمام نصير الدين الرّوبانجاهي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الأمير الإمام نصير الدين الرّوبانجاهي
</w:t>
      </w:r>
    </w:p>
    <w:p>
      <w:pPr/>
      <w:r>
        <w:rPr/>
        <w:t xml:space="preserve">محمد بن الحسين الأمير الإمام نصير الدين الرّوبانجاهي </w:t>
      </w:r>
    </w:p>
    <w:p/>
    <w:p>
      <w:pPr/>
      <w:r>
        <w:rPr/>
        <w:t xml:space="preserve">شاعر ذكره البيهقي في كتاب “الوشاح”، وسجع له وقال: اجتمعت به في مجلس الأستاذ مخلص الدين أبي الفضل المنشيء، وأنشد له بعد محاورة جرت بينهما في ذمّ رجل يطلق لسانه بذم أهل الفضل: الرجز:</w:t>
      </w:r>
    </w:p>
    <w:p/>
    <w:p>
      <w:pPr>
        <w:jc w:val="center"/>
      </w:pPr>
      <w:r>
        <w:rPr>
          <w:color w:val="ff0000"/>
        </w:rPr>
        <w:t xml:space="preserve">جانب أبا نصر ودعه واستعذ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بالله من مكره وشرّه</w:t>
      </w:r>
    </w:p>
    <w:p/>
    <w:p>
      <w:pPr>
        <w:jc w:val="center"/>
      </w:pPr>
      <w:r>
        <w:rPr>
          <w:color w:val="ff0000"/>
        </w:rPr>
        <w:t xml:space="preserve">فهو الحطيئة في هجاء النا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 خفّ لسانه لأحسن شعره</w:t>
      </w:r>
    </w:p>
    <w:p/>
    <w:p>
      <w:pPr/>
      <w:r>
        <w:rPr/>
        <w:t xml:space="preserve">وله يمدح معين الدين عبد الصمد بن حمزة بن علي نائب ديوان الوزارة بنيسابور من قصيدة: بسيط:</w:t>
      </w:r>
    </w:p>
    <w:p/>
    <w:p>
      <w:pPr>
        <w:jc w:val="center"/>
      </w:pPr>
      <w:r>
        <w:rPr>
          <w:color w:val="ff0000"/>
        </w:rPr>
        <w:t xml:space="preserve">معين دين الهدى بادر إلي فرص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أمكنتك وكن لي خير معوان</w:t>
      </w:r>
    </w:p>
    <w:p/>
    <w:p>
      <w:pPr>
        <w:jc w:val="center"/>
      </w:pPr>
      <w:r>
        <w:rPr>
          <w:color w:val="ff0000"/>
        </w:rPr>
        <w:t xml:space="preserve">وإن تعذّر إمساكي بمعرفة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فهل تعذّر تسريحي بإحسان</w:t>
      </w:r>
    </w:p>
    <w:p/>
    <w:p>
      <w:pPr/>
      <w:r>
        <w:rPr/>
        <w:t xml:space="preserve">وله يمدح أحد بني عمران: كامل:</w:t>
      </w:r>
    </w:p>
    <w:p/>
    <w:p>
      <w:pPr>
        <w:jc w:val="center"/>
      </w:pPr>
      <w:r>
        <w:rPr>
          <w:color w:val="ff0000"/>
        </w:rPr>
        <w:t xml:space="preserve">الدّين صار مشيّد البنيان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والملك عاد موطّد الأركان</w:t>
      </w:r>
    </w:p>
    <w:p/>
    <w:p>
      <w:pPr>
        <w:jc w:val="center"/>
      </w:pPr>
      <w:r>
        <w:rPr>
          <w:color w:val="ff0000"/>
        </w:rPr>
        <w:t xml:space="preserve">وتجلّت البلدان في عمرانها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بأغرّ أبيض من بني عمران</w:t>
      </w:r>
    </w:p>
    <w:p/>
    <w:p>
      <w:pPr>
        <w:jc w:val="center"/>
      </w:pPr>
      <w:r>
        <w:rPr>
          <w:color w:val="ff0000"/>
        </w:rPr>
        <w:t xml:space="preserve">بجمال دين الله والصدر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ملأ الصدور بفائض الإحسان</w:t>
      </w:r>
    </w:p>
    <w:p/>
    <w:p>
      <w:pPr>
        <w:jc w:val="center"/>
      </w:pPr>
      <w:r>
        <w:rPr>
          <w:color w:val="ff0000"/>
        </w:rPr>
        <w:t xml:space="preserve">ملكٌ لدى سطواته لكنّه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ملكٌ بدا في صورة الإنسان</w:t>
      </w:r>
    </w:p>
    <w:p/>
    <w:p>
      <w:pPr>
        <w:jc w:val="center"/>
      </w:pPr>
      <w:r>
        <w:rPr>
          <w:color w:val="ff0000"/>
        </w:rPr>
        <w:t xml:space="preserve">فكأنّه القمران في إشراقه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وكأنه في عدله العمران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2026-10-11T22:10:07+03:00</dcterms:created>
  <dcterms:modified xsi:type="dcterms:W3CDTF">2026-10-11T22:10:07+03:00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