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النميلي القمّيّ،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النميلي القمّيّ، أبو جعفر
</w:t>
      </w:r>
    </w:p>
    <w:p>
      <w:pPr/>
      <w:r>
        <w:rPr/>
        <w:t xml:space="preserve">محمد بن الحسن النميلي القمّيّ، أبو جعفر </w:t>
      </w:r>
    </w:p>
    <w:p/>
    <w:p>
      <w:pPr/>
      <w:r>
        <w:rPr/>
        <w:t xml:space="preserve">كاتب شاعر، قدم نيسابور، يكتب للعمال، ويتصرف في الأعمال، وهو القائل: هزج:</w:t>
      </w:r>
    </w:p>
    <w:p/>
    <w:p>
      <w:pPr>
        <w:jc w:val="center"/>
      </w:pPr>
      <w:r>
        <w:rPr>
          <w:color w:val="ff0000"/>
        </w:rPr>
        <w:t xml:space="preserve">أرى أعمال نيسابو</w:t>
      </w:r>
      <w:r>
        <w:rPr>
          <w:color w:val="ff0000"/>
        </w:rPr>
        <w:t xml:space="preserve">      </w:t>
      </w:r>
      <w:r>
        <w:rPr>
          <w:color w:val="ff0000"/>
        </w:rPr>
        <w:t xml:space="preserve">ر دهر الله، في النحس</w:t>
      </w:r>
    </w:p>
    <w:p/>
    <w:p>
      <w:pPr>
        <w:jc w:val="center"/>
      </w:pPr>
      <w:r>
        <w:rPr>
          <w:color w:val="ff0000"/>
        </w:rPr>
        <w:t xml:space="preserve">فمن يعمل بها يوماً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يقع شهرين في الحبس</w:t>
      </w:r>
    </w:p>
    <w:p/>
    <w:p>
      <w:pPr>
        <w:jc w:val="center"/>
      </w:pPr>
      <w:r>
        <w:rPr>
          <w:color w:val="ff0000"/>
        </w:rPr>
        <w:t xml:space="preserve">بها يضرب بالقل</w:t>
      </w:r>
      <w:r>
        <w:rPr>
          <w:color w:val="ff0000"/>
        </w:rPr>
        <w:t xml:space="preserve">      </w:t>
      </w:r>
      <w:r>
        <w:rPr>
          <w:color w:val="ff0000"/>
        </w:rPr>
        <w:t xml:space="preserve">س أعزّ الناس في فلس</w:t>
      </w:r>
    </w:p>
    <w:p/>
    <w:p>
      <w:pPr/>
      <w:r>
        <w:rPr/>
        <w:t xml:space="preserve">وقال في معقل البندار كامل:</w:t>
      </w:r>
    </w:p>
    <w:p/>
    <w:p>
      <w:pPr>
        <w:jc w:val="center"/>
      </w:pPr>
      <w:r>
        <w:rPr>
          <w:color w:val="ff0000"/>
        </w:rPr>
        <w:t xml:space="preserve">يا أيها الشيخ الجليل المفضل</w:t>
      </w:r>
      <w:r>
        <w:rPr>
          <w:color w:val="ff0000"/>
        </w:rPr>
        <w:t xml:space="preserve">      </w:t>
      </w:r>
      <w:r>
        <w:rPr>
          <w:color w:val="ff0000"/>
        </w:rPr>
        <w:t xml:space="preserve">اقبض يديه فمعقلٌ لا يعقل</w:t>
      </w:r>
    </w:p>
    <w:p/>
    <w:p>
      <w:pPr>
        <w:jc w:val="center"/>
      </w:pPr>
      <w:r>
        <w:rPr>
          <w:color w:val="ff0000"/>
        </w:rPr>
        <w:t xml:space="preserve">ظلموه إذ وضعوا دواةً عنده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ولديه يوضع منجل أو مغزل</w:t>
      </w:r>
    </w:p>
    <w:p/>
    <w:p>
      <w:pPr/>
      <w:r>
        <w:rPr/>
        <w:t xml:space="preserve">وقال لمحمد بن أبي سلمة: رمل:</w:t>
      </w:r>
    </w:p>
    <w:p/>
    <w:p>
      <w:pPr>
        <w:jc w:val="center"/>
      </w:pPr>
      <w:r>
        <w:rPr>
          <w:color w:val="ff0000"/>
        </w:rPr>
        <w:t xml:space="preserve">أيّها الشيخ الذي كلّ الورى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يتلقّى وجهه بالتفديه</w:t>
      </w:r>
    </w:p>
    <w:p/>
    <w:p>
      <w:pPr>
        <w:jc w:val="center"/>
      </w:pPr>
      <w:r>
        <w:rPr>
          <w:color w:val="ff0000"/>
        </w:rPr>
        <w:t xml:space="preserve">هل يوازي فضلك المشهور أن</w:t>
      </w:r>
      <w:r>
        <w:rPr>
          <w:color w:val="ff0000"/>
        </w:rPr>
        <w:t xml:space="preserve">      </w:t>
      </w:r>
      <w:r>
        <w:rPr>
          <w:color w:val="ff0000"/>
        </w:rPr>
        <w:t xml:space="preserve">تحضر الديوان يوم الترويه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2026-10-11T23:04:28+03:00</dcterms:created>
  <dcterms:modified xsi:type="dcterms:W3CDTF">2026-10-11T23:04:28+03:00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