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الحسن بن الحسين الوثّابي الوركاني أبو جعفر
</w:t>
      </w:r>
    </w:p>
    <w:p>
      <w:pPr>
        <w:jc w:val="start"/>
        <w:bidi/>
      </w:pPr>
      <w:r>
        <w:rPr>
          <w:rFonts w:ascii="arial" w:hAnsi="arial" w:eastAsia="arial" w:cs="arial"/>
          <w:sz w:val="28"/>
          <w:szCs w:val="28"/>
          <w:b w:val="1"/>
          <w:bCs w:val="1"/>
          <w:rtl/>
        </w:rPr>
        <w:t xml:space="preserve">محمد بن الحسن بن الحسين الوثّابي الوركاني أبو جعفر
</w:t>
      </w:r>
    </w:p>
    <w:p>
      <w:pPr/>
      <w:r>
        <w:rPr/>
        <w:t xml:space="preserve">محمد بن الحسن بن الحسين الوثّابي الوركاني أبو جعفر </w:t>
      </w:r>
    </w:p>
    <w:p/>
    <w:p>
      <w:pPr/>
      <w:r>
        <w:rPr/>
        <w:t xml:space="preserve">الأديب، وقيل أبو الحسين، من أهل أصبهان، كان أحد الأدباء الفضلاء حسن النظم، مليح الشعر، وكان مبارك النفس في التعليم. قهراً جماعة من فضلاء أصبهان عليه، وتخرّجوا به. مولده في سنة تسع وعشرين وأربعمئة بأصبهان، وكان قد أدركه ارتعاش غيّر خطه فقال: سريع:</w:t>
      </w:r>
    </w:p>
    <w:p/>
    <w:p>
      <w:pPr>
        <w:jc w:val="center"/>
      </w:pPr>
      <w:r>
        <w:rPr>
          <w:color w:val="ff0000"/>
        </w:rPr>
        <w:t xml:space="preserve">من الثمانين وأطوارها</w:t>
      </w:r>
      <w:r>
        <w:rPr>
          <w:color w:val="ff0000"/>
        </w:rPr>
        <w:t xml:space="preserve">      </w:t>
      </w:r>
      <w:r>
        <w:rPr>
          <w:color w:val="ff0000"/>
        </w:rPr>
        <w:t xml:space="preserve">غيّر من خطّي ما استحسنا</w:t>
      </w:r>
    </w:p>
    <w:p/>
    <w:p>
      <w:pPr>
        <w:jc w:val="center"/>
      </w:pPr>
      <w:r>
        <w:rPr>
          <w:color w:val="ff0000"/>
        </w:rPr>
        <w:t xml:space="preserve">كذاك عمر المرء كالكأس في</w:t>
      </w:r>
      <w:r>
        <w:rPr>
          <w:color w:val="ff0000"/>
        </w:rPr>
        <w:t xml:space="preserve">      </w:t>
      </w:r>
      <w:r>
        <w:rPr>
          <w:color w:val="ff0000"/>
        </w:rPr>
        <w:t xml:space="preserve">آخرها يرسب ما استخشنا</w:t>
      </w:r>
    </w:p>
    <w:p/>
    <w:p>
      <w:pPr/>
      <w:r>
        <w:rPr/>
        <w:t xml:space="preserve">وأنشد له أحمد بن أبي عامر الثقفي: خفيف:</w:t>
      </w:r>
    </w:p>
    <w:p/>
    <w:p>
      <w:pPr>
        <w:jc w:val="center"/>
      </w:pPr>
      <w:r>
        <w:rPr>
          <w:color w:val="ff0000"/>
        </w:rPr>
        <w:t xml:space="preserve">قد تختمت في اليمين اقتداءً</w:t>
      </w:r>
      <w:r>
        <w:rPr>
          <w:color w:val="ff0000"/>
        </w:rPr>
        <w:t xml:space="preserve">      </w:t>
      </w:r>
      <w:r>
        <w:rPr>
          <w:color w:val="ff0000"/>
        </w:rPr>
        <w:t xml:space="preserve">برسول الإله خير الأنام</w:t>
      </w:r>
    </w:p>
    <w:p/>
    <w:p>
      <w:pPr>
        <w:jc w:val="center"/>
      </w:pPr>
      <w:r>
        <w:rPr>
          <w:color w:val="ff0000"/>
        </w:rPr>
        <w:t xml:space="preserve">أنا مولى له، وللآل طرّاً</w:t>
      </w:r>
      <w:r>
        <w:rPr>
          <w:color w:val="ff0000"/>
        </w:rPr>
        <w:t xml:space="preserve">      </w:t>
      </w:r>
      <w:r>
        <w:rPr>
          <w:color w:val="ff0000"/>
        </w:rPr>
        <w:t xml:space="preserve">هم منار الهدى ونور الظلام</w:t>
      </w:r>
    </w:p>
    <w:p/>
    <w:p>
      <w:pPr/>
      <w:r>
        <w:rPr/>
        <w:t xml:space="preserve">وله في ذكر الأئمة السبعة القراء: طويل:</w:t>
      </w:r>
    </w:p>
    <w:p/>
    <w:p>
      <w:pPr>
        <w:jc w:val="center"/>
      </w:pPr>
      <w:r>
        <w:rPr>
          <w:color w:val="ff0000"/>
        </w:rPr>
        <w:t xml:space="preserve">ألا إنّ قرّاء الأئمة سبعة</w:t>
      </w:r>
      <w:r>
        <w:rPr>
          <w:color w:val="ff0000"/>
        </w:rPr>
        <w:t xml:space="preserve">      </w:t>
      </w:r>
      <w:r>
        <w:rPr>
          <w:color w:val="ff0000"/>
        </w:rPr>
        <w:t xml:space="preserve">بهم يهتدي في الذكركلّ كبير</w:t>
      </w:r>
    </w:p>
    <w:p/>
    <w:p>
      <w:pPr>
        <w:jc w:val="center"/>
      </w:pPr>
      <w:r>
        <w:rPr>
          <w:color w:val="ff0000"/>
        </w:rPr>
        <w:t xml:space="preserve">عليٌّ، أبوعمروٍ، وحمزة، عاصمٌ</w:t>
      </w:r>
      <w:r>
        <w:rPr>
          <w:color w:val="ff0000"/>
        </w:rPr>
        <w:t xml:space="preserve">      </w:t>
      </w:r>
      <w:r>
        <w:rPr>
          <w:color w:val="ff0000"/>
        </w:rPr>
        <w:t xml:space="preserve">ونافعٌ، عبد الله، وابن كثير</w:t>
      </w:r>
    </w:p>
    <w:p/>
    <w:p>
      <w:pPr/>
      <w:r>
        <w:rPr/>
        <w:t xml:space="preserve">وله في البطيخ:</w:t>
      </w:r>
    </w:p>
    <w:p/>
    <w:p>
      <w:pPr>
        <w:jc w:val="center"/>
      </w:pPr>
      <w:r>
        <w:rPr>
          <w:color w:val="ff0000"/>
        </w:rPr>
        <w:t xml:space="preserve">ألا إنّ في البطيخ عشر منافع</w:t>
      </w:r>
      <w:r>
        <w:rPr>
          <w:color w:val="ff0000"/>
        </w:rPr>
        <w:t xml:space="preserve">      </w:t>
      </w:r>
      <w:r>
        <w:rPr>
          <w:color w:val="ff0000"/>
        </w:rPr>
        <w:t xml:space="preserve">طعامٌ وأدمٌ بل شرابٌ وفاكهه</w:t>
      </w:r>
    </w:p>
    <w:p/>
    <w:p>
      <w:pPr>
        <w:jc w:val="center"/>
      </w:pPr>
      <w:r>
        <w:rPr>
          <w:color w:val="ff0000"/>
        </w:rPr>
        <w:t xml:space="preserve">ونقلٌ وريحان وحرضٌ، حلاوة</w:t>
      </w:r>
      <w:r>
        <w:rPr>
          <w:color w:val="ff0000"/>
        </w:rPr>
        <w:t xml:space="preserve">      </w:t>
      </w:r>
      <w:r>
        <w:rPr>
          <w:color w:val="ff0000"/>
        </w:rPr>
        <w:t xml:space="preserve">دواءٌ، وهضم للطعام مشاكهه</w:t>
      </w:r>
    </w:p>
    <w:p/>
    <w:p>
      <w:pPr/>
      <w:r>
        <w:rPr/>
        <w:t xml:space="preserve">مات بأصبهان في الثالث عشر من شوال سنة إحدى عشرة وخمسمائة - رحمه الله - وكان قد لقي نظام الملك ومدحه وصنف له كتاباً في الأدب.</w:t>
      </w:r>
    </w:p>
    <w:p>
      <w:pPr>
        <w:jc w:val="start"/>
        <w:bidi/>
      </w:pPr>
      <w:r>
        <w:rPr>
          <w:sz w:val="24"/>
          <w:szCs w:val="24"/>
          <w:b w:val="1"/>
          <w:bCs w:val="1"/>
          <w:rtl/>
        </w:rPr>
        <w:t xml:space="preserve">
المحمدون من الشعراء،(دار اليمامة،1970،ط 1،ج 1،ص 229)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2026-10-11T23:10:47+03:00</dcterms:created>
  <dcterms:modified xsi:type="dcterms:W3CDTF">2026-10-11T23:10:47+03:00</dcterms:modified>
</cp:coreProperties>
</file>

<file path=docProps/custom.xml><?xml version="1.0" encoding="utf-8"?>
<Properties xmlns="http://schemas.openxmlformats.org/officeDocument/2006/custom-properties" xmlns:vt="http://schemas.openxmlformats.org/officeDocument/2006/docPropsVTypes"/>
</file>