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جارية القصّار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جارية القصّار
</w:t>
      </w:r>
    </w:p>
    <w:p>
      <w:pPr/>
      <w:r>
        <w:rPr/>
        <w:t xml:space="preserve">محمد بن جارية القصّار </w:t>
      </w:r>
    </w:p>
    <w:p/>
    <w:p>
      <w:pPr/>
      <w:r>
        <w:rPr/>
        <w:t xml:space="preserve">وهو يعرف بها ولا يذكر</w:t>
      </w:r>
    </w:p>
    <w:p/>
    <w:p>
      <w:pPr/>
      <w:r>
        <w:rPr/>
        <w:t xml:space="preserve">أبوه، وهو محمد بن المبارك بن علي بن علي بن القصار</w:t>
      </w:r>
    </w:p>
    <w:p/>
    <w:p>
      <w:pPr/>
      <w:r>
        <w:rPr/>
        <w:t xml:space="preserve">وقد أوردت ذكره في باب الميم في 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2026-10-12T01:03:49+03:00</dcterms:created>
  <dcterms:modified xsi:type="dcterms:W3CDTF">2026-10-12T01:03:49+03:00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