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محمد البجلي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محمد البجلي
</w:t>
      </w:r>
    </w:p>
    <w:p>
      <w:pPr/>
      <w:r>
        <w:rPr/>
        <w:t xml:space="preserve">محمد البجلي </w:t>
      </w:r>
    </w:p>
    <w:p/>
    <w:p>
      <w:pPr/>
      <w:r>
        <w:rPr/>
        <w:t xml:space="preserve">لم أعلم له أباً وإنّما ذكر منسوباً إلى بجيل لا غير، كوفي شاعر مذكور، كان في زمان المأمون ومن شعراء دولته وهو القائل: سريع:</w:t>
      </w:r>
    </w:p>
    <w:p/>
    <w:p>
      <w:pPr>
        <w:jc w:val="center"/>
      </w:pPr>
      <w:r>
        <w:rPr>
          <w:color w:val="ff0000"/>
        </w:rPr>
        <w:t xml:space="preserve">أيّ فتى هدّت صروف الرّدى</w:t>
      </w:r>
      <w:r>
        <w:rPr>
          <w:color w:val="ff0000"/>
        </w:rPr>
        <w:t xml:space="preserve">      </w:t>
      </w:r>
      <w:r>
        <w:rPr>
          <w:color w:val="ff0000"/>
        </w:rPr>
        <w:t xml:space="preserve">أمضت حسامياً على قتله</w:t>
      </w:r>
    </w:p>
    <w:p/>
    <w:p>
      <w:pPr>
        <w:jc w:val="center"/>
      </w:pPr>
      <w:r>
        <w:rPr>
          <w:color w:val="ff0000"/>
        </w:rPr>
        <w:t xml:space="preserve">فريسة بين يدى حادث</w:t>
      </w:r>
      <w:r>
        <w:rPr>
          <w:color w:val="ff0000"/>
        </w:rPr>
        <w:t xml:space="preserve">      </w:t>
      </w:r>
      <w:r>
        <w:rPr>
          <w:color w:val="ff0000"/>
        </w:rPr>
        <w:t xml:space="preserve">ما تشبع الأيّام من أكله</w:t>
      </w:r>
    </w:p>
    <w:p/>
    <w:p>
      <w:pPr/>
      <w:r>
        <w:rPr/>
        <w:t xml:space="preserve">وهو القائل: كامل:</w:t>
      </w:r>
    </w:p>
    <w:p/>
    <w:p>
      <w:pPr>
        <w:jc w:val="center"/>
      </w:pPr>
      <w:r>
        <w:rPr>
          <w:color w:val="ff0000"/>
        </w:rPr>
        <w:t xml:space="preserve">وله مواهب كلّما نسبت</w:t>
      </w:r>
      <w:r>
        <w:rPr>
          <w:color w:val="ff0000"/>
        </w:rPr>
        <w:t xml:space="preserve">      </w:t>
      </w:r>
      <w:r>
        <w:rPr>
          <w:color w:val="ff0000"/>
        </w:rPr>
        <w:t xml:space="preserve">يوماً إليه زانها النّسب</w:t>
      </w:r>
    </w:p>
    <w:p/>
    <w:p>
      <w:pPr>
        <w:jc w:val="center"/>
      </w:pPr>
      <w:r>
        <w:rPr>
          <w:color w:val="ff0000"/>
        </w:rPr>
        <w:t xml:space="preserve">ومن المواهب ما يكدّره</w:t>
      </w:r>
      <w:r>
        <w:rPr>
          <w:color w:val="ff0000"/>
        </w:rPr>
        <w:t xml:space="preserve">      </w:t>
      </w:r>
      <w:r>
        <w:rPr>
          <w:color w:val="ff0000"/>
        </w:rPr>
        <w:t xml:space="preserve">ويشينه قدر الذي يهب</w:t>
      </w:r>
    </w:p>
    <w:p/>
    <w:p>
      <w:pPr/>
      <w:r>
        <w:rPr/>
        <w:t xml:space="preserve">وكان البجلي هجّاءاً للحسن بن رجاء بن أبي الضحّاك فمن قوله له: كامل:</w:t>
      </w:r>
    </w:p>
    <w:p/>
    <w:p>
      <w:pPr>
        <w:jc w:val="center"/>
      </w:pPr>
      <w:r>
        <w:rPr>
          <w:color w:val="ff0000"/>
        </w:rPr>
        <w:t xml:space="preserve">ما زلت تركب كل شيء قائم</w:t>
      </w:r>
      <w:r>
        <w:rPr>
          <w:color w:val="ff0000"/>
        </w:rPr>
        <w:t xml:space="preserve">      </w:t>
      </w:r>
      <w:r>
        <w:rPr>
          <w:color w:val="ff0000"/>
        </w:rPr>
        <w:t xml:space="preserve">حتّى اجترأت على ركوب المنبر</w:t>
      </w:r>
    </w:p>
    <w:p/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المحمدون من الشعراء،(دار اليمامة،1970،ط 1،ج 1،ص 163)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2026-10-12T01:02:49+03:00</dcterms:created>
  <dcterms:modified xsi:type="dcterms:W3CDTF">2026-10-12T01:02:49+03:00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