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الفقيه الطوسي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الفقيه الطوسي أبو الحسن
</w:t>
      </w:r>
    </w:p>
    <w:p>
      <w:pPr/>
      <w:r>
        <w:rPr/>
        <w:t xml:space="preserve">محمد بن إبراهيم الفقيه الطوسي أبو الحسن </w:t>
      </w:r>
    </w:p>
    <w:p/>
    <w:p>
      <w:pPr/>
      <w:r>
        <w:rPr/>
        <w:t xml:space="preserve">له شعر قليل، فمنه أنه افتتن بغلام من الشطّار، فقال له: طويل:</w:t>
      </w:r>
    </w:p>
    <w:p/>
    <w:p>
      <w:pPr>
        <w:jc w:val="center"/>
      </w:pPr>
      <w:r>
        <w:rPr>
          <w:color w:val="ff0000"/>
        </w:rPr>
        <w:t xml:space="preserve">أتوعدني بالقتل والقتل راحتي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فلا تخلف الإيعاد خلفك ميعادي</w:t>
      </w:r>
    </w:p>
    <w:p/>
    <w:p>
      <w:pPr/>
      <w:r>
        <w:rPr/>
        <w:t xml:space="preserve">وقال في غلام متأادب أعطاه كتاب “العين”: وافر:</w:t>
      </w:r>
    </w:p>
    <w:p/>
    <w:p>
      <w:pPr>
        <w:jc w:val="center"/>
      </w:pPr>
      <w:r>
        <w:rPr>
          <w:color w:val="ff0000"/>
        </w:rPr>
        <w:t xml:space="preserve">كتاب “العين” ظلّ يقرّ عيني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ويصلح بين أهوائي وبيني</w:t>
      </w:r>
    </w:p>
    <w:p/>
    <w:p>
      <w:pPr>
        <w:jc w:val="center"/>
      </w:pPr>
      <w:r>
        <w:rPr>
          <w:color w:val="ff0000"/>
        </w:rPr>
        <w:t xml:space="preserve">كتاب “العين” قوّادٌ لطيفٌ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يحلّ السّهل، عصم القلّتين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2026-10-12T02:03:53+03:00</dcterms:created>
  <dcterms:modified xsi:type="dcterms:W3CDTF">2026-10-12T02:03:53+03:00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