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الخليل
</w:t>
      </w:r>
    </w:p>
    <w:p>
      <w:pPr/>
      <w:r>
        <w:rPr/>
        <w:t xml:space="preserve">محمد بن إبراهيم بن الخليل </w:t>
      </w:r>
    </w:p>
    <w:p/>
    <w:p>
      <w:pPr/>
      <w:r>
        <w:rPr/>
        <w:t xml:space="preserve">خازن دار الكتب بالمدرسة الكمالية بإصبهان، وهو أديب أولاد الوزير السّميرمي؛ كان حيّاً بإصبهان سنة تسع وأربعين وخمسمئة، وفيه فضل، وقد بلغ سن الشيخوخة؛ قال يرثي صديقاً له: طويل:</w:t>
      </w:r>
    </w:p>
    <w:p/>
    <w:p>
      <w:pPr>
        <w:jc w:val="center"/>
      </w:pPr>
      <w:r>
        <w:rPr>
          <w:color w:val="ff0000"/>
        </w:rPr>
        <w:t xml:space="preserve">بموت معين الدين مات فؤادي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وأزعجني همّي وطاب سهادي</w:t>
      </w:r>
    </w:p>
    <w:p/>
    <w:p>
      <w:pPr>
        <w:jc w:val="center"/>
      </w:pPr>
      <w:r>
        <w:rPr>
          <w:color w:val="ff0000"/>
        </w:rPr>
        <w:t xml:space="preserve">فكان مرادي أن يطول بقاؤه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مراد الله غير مرادي</w:t>
      </w:r>
    </w:p>
    <w:p/>
    <w:p>
      <w:pPr/>
      <w:r>
        <w:rPr/>
        <w:t xml:space="preserve">وله في الصوم: طويل:</w:t>
      </w:r>
    </w:p>
    <w:p/>
    <w:p>
      <w:pPr>
        <w:jc w:val="center"/>
      </w:pPr>
      <w:r>
        <w:rPr>
          <w:color w:val="ff0000"/>
        </w:rPr>
        <w:t xml:space="preserve">أرى الصوم يضني الجسم وهو مكلّفي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ثلاثين يوماً فيه نعنى ونجهد</w:t>
      </w:r>
    </w:p>
    <w:p/>
    <w:p>
      <w:pPr>
        <w:jc w:val="center"/>
      </w:pPr>
      <w:r>
        <w:rPr>
          <w:color w:val="ff0000"/>
        </w:rPr>
        <w:t xml:space="preserve">لك الأمر فاصنع ما تشاء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أكافيك بعد العيد والعود أحمد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2026-10-12T02:56:13+03:00</dcterms:created>
  <dcterms:modified xsi:type="dcterms:W3CDTF">2026-10-12T02:56:13+03:00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