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دينار، يعرف بابن صندل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دينار، يعرف بابن صندل
</w:t>
      </w:r>
    </w:p>
    <w:p>
      <w:pPr/>
      <w:r>
        <w:rPr/>
        <w:t xml:space="preserve">محمد بن إبراهيم بن دينار، يعرف بابن صندل </w:t>
      </w:r>
    </w:p>
    <w:p/>
    <w:p>
      <w:pPr/>
      <w:r>
        <w:rPr/>
        <w:t xml:space="preserve">شاعر مذكور، وهو القائل في يوسف في عبد العزيز بن الماجشون: بسيط:</w:t>
      </w:r>
    </w:p>
    <w:p/>
    <w:p>
      <w:pPr>
        <w:jc w:val="center"/>
      </w:pPr>
      <w:r>
        <w:rPr>
          <w:color w:val="ff0000"/>
        </w:rPr>
        <w:t xml:space="preserve">إن كنت تطلب علماً نافعاً وهدى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فاقصد ليوسف ثم اقصد لحجاج</w:t>
      </w:r>
    </w:p>
    <w:p/>
    <w:p>
      <w:pPr>
        <w:jc w:val="center"/>
      </w:pPr>
      <w:r>
        <w:rPr>
          <w:color w:val="ff0000"/>
        </w:rPr>
        <w:t xml:space="preserve">والرافعيّ فخذ عنه فإنّ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عقلاً أصيلا لتصحيح وإنهاج</w:t>
      </w:r>
    </w:p>
    <w:p/>
    <w:p>
      <w:pPr>
        <w:jc w:val="center"/>
      </w:pPr>
      <w:r>
        <w:rPr>
          <w:color w:val="ff0000"/>
        </w:rPr>
        <w:t xml:space="preserve">لا تعدلنّ بهم ذا فطنة أبداً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قاضي القضاة ولا ترج ابن درّاج</w:t>
      </w:r>
    </w:p>
    <w:p/>
    <w:p>
      <w:pPr>
        <w:jc w:val="center"/>
      </w:pPr>
      <w:r>
        <w:rPr>
          <w:color w:val="ff0000"/>
        </w:rPr>
        <w:t xml:space="preserve">فالقوم كلّهم ناهيك في بصر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فاصبر على جدل منهم وإحراج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2026-10-12T03:07:11+03:00</dcterms:created>
  <dcterms:modified xsi:type="dcterms:W3CDTF">2026-10-12T03:07:11+03:00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