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الحسن الفياض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الحسن الفياض الأصبهاني
</w:t>
      </w:r>
    </w:p>
    <w:p>
      <w:pPr/>
      <w:r>
        <w:rPr/>
        <w:t xml:space="preserve">محمد بن أحمد بن الحسن الفياض الأصبهاني </w:t>
      </w:r>
    </w:p>
    <w:p/>
    <w:p>
      <w:pPr/>
      <w:r>
        <w:rPr/>
        <w:t xml:space="preserve">أديب نظام الملك الحسن بن إسحاق، فمن شعره فيه: بسيط</w:t>
      </w:r>
    </w:p>
    <w:p/>
    <w:p>
      <w:pPr>
        <w:jc w:val="center"/>
      </w:pPr>
      <w:r>
        <w:rPr>
          <w:color w:val="ff0000"/>
        </w:rPr>
        <w:t xml:space="preserve">تنام في عدله للخلق أعينهم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وعينه في حفاظ الخلق لم تنم</w:t>
      </w:r>
    </w:p>
    <w:p/>
    <w:p>
      <w:pPr>
        <w:jc w:val="center"/>
      </w:pPr>
      <w:r>
        <w:rPr>
          <w:color w:val="ff0000"/>
        </w:rPr>
        <w:t xml:space="preserve">لولا إقامته في الناس رأفته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أضحى جميعهم لحماً على وضم</w:t>
      </w:r>
    </w:p>
    <w:p/>
    <w:p>
      <w:pPr>
        <w:jc w:val="center"/>
      </w:pPr>
      <w:r>
        <w:rPr>
          <w:color w:val="ff0000"/>
        </w:rPr>
        <w:t xml:space="preserve">يا حائزاً في مضامير العلى قصباً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تضاءلت عنه في تقريظه كلمي</w:t>
      </w:r>
    </w:p>
    <w:p/>
    <w:p>
      <w:pPr>
        <w:jc w:val="center"/>
      </w:pPr>
      <w:r>
        <w:rPr>
          <w:color w:val="ff0000"/>
        </w:rPr>
        <w:t xml:space="preserve">لم ألق غيرك بعد الله يا وزراً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تلقي الجران إليه باركا نعمي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2026-10-12T04:04:43+03:00</dcterms:created>
  <dcterms:modified xsi:type="dcterms:W3CDTF">2026-10-12T04:04:43+03:00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