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عمران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عمران اليمني
</w:t>
      </w:r>
    </w:p>
    <w:p>
      <w:pPr/>
      <w:r>
        <w:rPr/>
        <w:t xml:space="preserve">محمد بن أحمد بن عمران اليمني </w:t>
      </w:r>
    </w:p>
    <w:p/>
    <w:p>
      <w:pPr/>
      <w:r>
        <w:rPr/>
        <w:t xml:space="preserve">المدعو بالقاضي الأجلّ، متميز في بلده، وله أدب وشعر، فمن شعره قوله: بسيط</w:t>
      </w:r>
    </w:p>
    <w:p/>
    <w:p>
      <w:pPr>
        <w:jc w:val="center"/>
      </w:pPr>
      <w:r>
        <w:rPr>
          <w:color w:val="ff0000"/>
        </w:rPr>
        <w:t xml:space="preserve">ربعٌ عفا لعهاد المزن معهده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تنكّر عما كنت أعهده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معدّل القدّ وافيه مقوّمه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منوّر الخدّ صافيه مورّده</w:t>
      </w:r>
    </w:p>
    <w:p/>
    <w:p>
      <w:pPr>
        <w:jc w:val="center"/>
      </w:pPr>
      <w:r>
        <w:rPr>
          <w:color w:val="ff0000"/>
        </w:rPr>
        <w:t xml:space="preserve">نضر المحيّا يكاد الدّرّ يجرحه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رخص البنان يكاد اللين يعقده</w:t>
      </w:r>
    </w:p>
    <w:p/>
    <w:p>
      <w:pPr>
        <w:jc w:val="center"/>
      </w:pPr>
      <w:r>
        <w:rPr>
          <w:color w:val="ff0000"/>
        </w:rPr>
        <w:t xml:space="preserve">يسمو فينصبه غصن ينوء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حيناً ويجذبه حقفٌ فيقعده</w:t>
      </w:r>
    </w:p>
    <w:p/>
    <w:p>
      <w:pPr>
        <w:jc w:val="center"/>
      </w:pPr>
      <w:r>
        <w:rPr>
          <w:color w:val="ff0000"/>
        </w:rPr>
        <w:t xml:space="preserve">ووجد ذي الشوق يبديه تذكّره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الخلوّ، ويخفيه تجلده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2026-10-12T03:59:21+03:00</dcterms:created>
  <dcterms:modified xsi:type="dcterms:W3CDTF">2026-10-12T03:59:21+03:00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