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البكري
</w:t>
      </w:r>
    </w:p>
    <w:p>
      <w:pPr/>
      <w:r>
        <w:rPr/>
        <w:t xml:space="preserve">أبو عبد الله البكري </w:t>
      </w:r>
    </w:p>
    <w:p/>
    <w:p>
      <w:pPr/>
      <w:r>
        <w:rPr/>
        <w:t xml:space="preserve">يروي عن سعيد المقبري قال ابن حبان ينفرد عن الثقات بالمقلوبات لا يجوز الاحتجاج به إذا انفرد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البكري
</w:t>
      </w:r>
    </w:p>
    <w:p>
      <w:pPr/>
      <w:r>
        <w:rPr/>
        <w:t xml:space="preserve">أبو عبد الله البكري </w:t>
      </w:r>
    </w:p>
    <w:p/>
    <w:p>
      <w:pPr/>
      <w:r>
        <w:rPr/>
        <w:t xml:space="preserve">روى عمن حدثه عن المقبري روى عنه هشيم سمعت أبي يقول ذلك. وسألته عنه فقال: شيخ مجهول لا يسمى.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2026-10-12T07:14:28+03:00</dcterms:created>
  <dcterms:modified xsi:type="dcterms:W3CDTF">2026-10-12T07:14:28+03:00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