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عمار أبو عمرو القيسي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عمار أبو عمرو القيسي البصري
</w:t>
      </w:r>
    </w:p>
    <w:p>
      <w:pPr/>
      <w:r>
        <w:rPr/>
        <w:t xml:space="preserve">بكر بن عمار أبو عمرو القيسي البصري </w:t>
      </w:r>
    </w:p>
    <w:p/>
    <w:p>
      <w:pPr/>
      <w:r>
        <w:rPr/>
        <w:t xml:space="preserve">ويقال بكير</w:t>
      </w:r>
    </w:p>
    <w:p/>
    <w:p>
      <w:pPr/>
      <w:r>
        <w:rPr/>
        <w:t xml:space="preserve">روى عنه شعبة</w:t>
      </w:r>
    </w:p>
    <w:p/>
    <w:p>
      <w:pPr/>
      <w:r>
        <w:rPr/>
        <w:t xml:space="preserve">قال يحيى ليس بشيء وقال النسائي ليس بثقة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2026-10-12T14:40:30+03:00</dcterms:created>
  <dcterms:modified xsi:type="dcterms:W3CDTF">2026-10-12T14:40:30+03:00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