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يحيى بن أبي العباس الخوارزمي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يحيى بن أبي العباس الخوارزمي
</w:t>
      </w:r>
    </w:p>
    <w:p>
      <w:pPr/>
      <w:r>
        <w:rPr/>
        <w:t xml:space="preserve">أحمد بن يحيى بن أبي العباس الخوارزمي </w:t>
      </w:r>
    </w:p>
    <w:p/>
    <w:p>
      <w:pPr/>
      <w:r>
        <w:rPr/>
        <w:t xml:space="preserve">يروي عن أبي قهزاذ وغيره قال الدارقطني متروك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يحيى بن أبي العباس الخوارزمي
</w:t>
      </w:r>
    </w:p>
    <w:p>
      <w:pPr/>
      <w:r>
        <w:rPr/>
        <w:t xml:space="preserve">أحمد بن يحيى بن أبي العباس الخوارزمي </w:t>
      </w:r>
    </w:p>
    <w:p/>
    <w:p>
      <w:pPr/>
      <w:r>
        <w:rPr/>
        <w:t xml:space="preserve">عن ابن فهزاد وغيره متروك.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للدارقطني،(مكتبة المعارف، الرياض - السعودية،1984،ط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2026-10-12T14:38:16+03:00</dcterms:created>
  <dcterms:modified xsi:type="dcterms:W3CDTF">2026-10-12T14:38:16+03:00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