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عيسى بن عبد الرحمن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عيسى بن عبد الرحمن الجرجاني
</w:t>
      </w:r>
    </w:p>
    <w:p>
      <w:pPr/>
      <w:r>
        <w:rPr/>
        <w:t xml:space="preserve">أحمد بن موسى بن عيسى بن عبد الرحمن الجرجاني </w:t>
      </w:r>
    </w:p>
    <w:p/>
    <w:p>
      <w:pPr/>
      <w:r>
        <w:rPr/>
        <w:t xml:space="preserve">ويعرف بأبي الحسن ابن أبي عمران الفرائضي</w:t>
      </w:r>
    </w:p>
    <w:p/>
    <w:p>
      <w:pPr/>
      <w:r>
        <w:rPr/>
        <w:t xml:space="preserve">قال الحاكم كان يضع الحديث ويركب الأسانيد على المتون</w:t>
      </w:r>
    </w:p>
    <w:p/>
    <w:p>
      <w:pPr/>
      <w:r>
        <w:rPr/>
        <w:t xml:space="preserve">وقال حمزة بن يوسف روى أحاديث مناكير غرائب عن شيوخ مجاهيل لم يتابعه عليها أحد فكذبوه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2026-10-12T15:39:06+03:00</dcterms:created>
  <dcterms:modified xsi:type="dcterms:W3CDTF">2026-10-12T15:39:06+03:00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